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finansējumu 3 650 000 </w:t>
      </w:r>
      <w:r w:rsidR="00000000" w:rsidRPr="00000000" w:rsidDel="00000000">
        <w:rPr>
          <w:i w:val="1"/>
          <w:rtl w:val="0"/>
        </w:rPr>
        <w:t xml:space="preserve">euro</w:t>
      </w:r>
      <w:r w:rsidR="00000000" w:rsidRPr="00000000" w:rsidDel="00000000">
        <w:rPr>
          <w:rtl w:val="0"/>
        </w:rPr>
        <w:t xml:space="preserve"> apmērā, lai atbilstoši Ukrainas civiliedzīvotāju atbalsta likuma 7. panta septītajai daļai nodrošinātu 7300 Ukrainas civiliedzīvotājiem vienreizēju nodarbinātības uzsākšanas pabalsta izmaksu vienas minimālās mēneša darba algas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22-TA-1804</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22-TA-1804</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rīkojuma_konsolidētā_versija_22-TA-1804.docx</dc:title>
</cp:coreProperties>
</file>

<file path=docProps/custom.xml><?xml version="1.0" encoding="utf-8"?>
<Properties xmlns="http://schemas.openxmlformats.org/officeDocument/2006/custom-properties" xmlns:vt="http://schemas.openxmlformats.org/officeDocument/2006/docPropsVTypes"/>
</file>