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Kredītiestāžu un ieguldījumu brokeru sabiedrību darbības atjaunošanas un noregulējuma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Kredītiestāžu un ieguldījumu brokeru sabiedrību darbības atjaunošanas un noregulējuma likumā (Latvijas Vēstnesis, 2015, 127. nr.; 2017, 47. nr.; 2019, 52. nr.; 2021, 193., 200. nr.; 2022, 94. nr.; 2024, 89.4 nr.; 2025, 52.,188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32. pantā pēc vārdiem “ tīmekļvietnē publicē” ar vārdiem “un vienlaikus iesniedz Latvijas Bankā”.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61.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daļas 1. punkta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meitas sabiedrība tieši pieder noregulējamai vienībai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un sestās daļas ievaddaļu pēc vārda “trešajā” ar skaitli “3.</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w:t>
      </w:r>
      <w:r w:rsidR="00000000" w:rsidRPr="00000000" w:rsidDel="00000000">
        <w:rPr>
          <w:vertAlign w:val="superscript"/>
          <w:rtl w:val="0"/>
        </w:rPr>
        <w:t xml:space="preserve">1</w:t>
      </w:r>
      <w:r w:rsidR="00000000" w:rsidRPr="00000000" w:rsidDel="00000000">
        <w:rPr>
          <w:rtl w:val="0"/>
        </w:rPr>
        <w:t xml:space="preserve"> daļu pēc  vārda “pirmajā” ar vārdiem “un otrajā”.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64.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pēc vārda “pirmo” ar vārdu “otro”;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Latvijas Banka nosaka likvidējamām vienībām, kurām saskaņā ar šā likuma 60. panta 4.</w:t>
      </w:r>
      <w:r w:rsidR="00000000" w:rsidRPr="00000000" w:rsidDel="00000000">
        <w:rPr>
          <w:vertAlign w:val="superscript"/>
          <w:rtl w:val="0"/>
        </w:rPr>
        <w:t xml:space="preserve">2</w:t>
      </w:r>
      <w:r w:rsidR="00000000" w:rsidRPr="00000000" w:rsidDel="00000000">
        <w:rPr>
          <w:rtl w:val="0"/>
        </w:rPr>
        <w:t xml:space="preserve"> daļu ir noteikta minimālā pašu kapitāla un atbilstīgo saistību prasība,  pārskatu sniegšanas un informācijas publiskošanas pienākumu saturu un biežumu, kā arī informē  likvidējamo vienību par šiem pienākumiem. Pārskatu sniegšanas un informācijas publiskošanas prasības nepārsniedz apjomu, kas nepieciešams, lai pārliecinātos par likvidējamai vienībai noteiktās minimālās pašu kapitāla un atbilstīgo saistību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104. pantu ar trešo, ceturto,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šī likuma 32. pantā, 42. panta trešajā daļā, 64. panta piektajā daļā, 91. panta pirmajā daļā,  104. panta otrajā daļā un 130. panta pirmajā daļā minēto informāciju nodod Eiropas vienotajam piekļuves 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Šī likuma 32. panta pirmajā daļā un 64. panta piektajā minēto informāciju Latvijas Banka sniedz Regulas Nr. 2023/2859 2. panta 3. vai 4. punktā noteiktajā formātā. Informācija satur Regulas Nr. 2023/2859 7. panta 4. punkta “b”, “c” un “d” apakšpunktā minēto informāciju, tai skaitā grupas sabiedrības vai attiecīgās iestādes vai finanšu sabiedrības nosaukumu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Šī likuma 42. panta trešajā daļā, 91. panta pirmajā daļā, otrajā daļā un 130. panta pirmajā daļā minēto informāciju Latvijas Banka sniedz Regulas Nr. 2023/2859 2. panta 3. punktā noteiktajā formātā. Informācija satur Regulas Nr. 2023/2859 7. panta 4. punkta “b” un “c” apakšpunktā minēto informāciju, tai skaitā iestādes nosaukumu un norādi, vai informācija satur fiziskas personas datus.”.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Šī likuma 32. panta  jaunā redakcija un 104. panta trešā, ceturtā, piektā un sestā daļa stājas spēkā 2030. gada 10. janvārī.”.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informatīvo atsauci uz Eiropas Savienības direktīvām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Eiropas Parlamenta un Padomes 2023. gada 13. decembra direktīvas (ES) 2023/2864, ar ko attiecībā uz Eiropas vienotā piekļuves punkta izveidi un darbību groza konkrētas direktīvas.”.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25-TA-2691</w:t>
    </w:r>
    <w:r>
      <w:br/>
    </w:r>
    <w:r w:rsidR="00000000" w:rsidRPr="00000000" w:rsidDel="00000000">
      <w:rPr>
        <w:rtl w:val="0"/>
      </w:rPr>
      <w:t xml:space="preserve">Izdrukāts 29.07.2026. 23.30 - 1.0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25-TA-2691</w:t>
    </w:r>
    <w:r>
      <w:br/>
    </w:r>
    <w:r w:rsidR="00000000" w:rsidRPr="00000000" w:rsidDel="00000000">
      <w:rPr>
        <w:rtl w:val="0"/>
      </w:rPr>
      <w:t xml:space="preserve">Izdrukāts 29.07.2026. 23.30 - 1.0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likumprojekts_(grozījumi)_25-TA-2691.docx</dc:title>
</cp:coreProperties>
</file>

<file path=docProps/custom.xml><?xml version="1.0" encoding="utf-8"?>
<Properties xmlns="http://schemas.openxmlformats.org/officeDocument/2006/custom-properties" xmlns:vt="http://schemas.openxmlformats.org/officeDocument/2006/docPropsVTypes"/>
</file>