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[24-TA-729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[24-TA-729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Metodika par siltumenerģiju maksājamās daļas noteikšanai, ievērojot ēkas siltumenerģijas patēriņa veidu (apkure, karstā ūdens nodrošināšana, karstā ūdens cirkulācija) un siltumenerģiju uzskaitot ar siltumenerģijas skaitītāju dzīvojamās mājas ievadā un ar siltumenerģijas patēriņa noteikšanas sistēmu, izmantojot tiešsaistē periodiski fiksētus siltumnesēja caurplūdes un apkures cauruļvadu virsmu temperatūras datus, dzīvokļos, nedzīvojamās telpās vai mākslinieka darbnīcās un karstā ūdens cirkulāciju sadalot uz kvadrātmetriem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dzīvokļos, mākslinieka darbnīcās un nedzīvojamās telpās uzstādītiem siltumenerģijas patēriņa noteikšanas sistēmas sensoriem, izmantojot tiešsaistē periodiski fiksētus siltumnesēja caurplūdes un apkures cauruļvadu virsmu temperatūras datus: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715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uzstādītiem siltumenerģijas patēriņa noteikšanas sistēmas sensoriem, izmantojot tiešsaistē periodiski fiksētus siltumnesēja caurplūdes un apkures cauruļvadu virsmu temperatūras datus.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 </w:t>
      </w:r>
      <w:r w:rsidR="00000000" w:rsidRPr="00000000" w:rsidDel="00000000">
        <w:rPr>
          <w:rtl w:val="0"/>
        </w:rPr>
        <w:t xml:space="preserve">– apkurei patērētās siltumenerģijas daudzums (MWh), kas uzskaitīts ar dzīvokļos, mākslinieka darbnīcās un nedzīvojamās telpās uzstādītiem siltumenerģijas patēriņa noteikšanas sistēmas sensoriem,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3.¹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pielietojot siltumenerģijas patēriņa noteikšanas sistēmu, izmantojot tiešsaistē periodiski fiksētus siltumnesēja caurplūdes un apkures cauruļvadu virsmu temperatūras datus,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3.¹ 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3.¹ 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(euro)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izmantojot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(MWh/m³)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vasaras sezonas norēķina periodā patērētā aukstā ūdens kopējais apjoms karstā ūdens patēriņam siltummainī (m³);</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(°C) vasaras sezonas norēķina periodā pēc karstā ūdens siltummaiņa;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(°C) vasaras sezonas norēķina periodā pirms karstā ūdens siltummaiņa.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(MWh)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norēķina periodā patērētās siltumenerģijas daudzums (MWh/m³) apkures sezonas;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(m³) karstā ūdens patēriņam siltummainī.</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(°C)apkures sezonas norēķina periodā pēc karstā ūdens siltummaiņa;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(°C) apkures sezonas norēķina periodā pirms karstā ūdens siltummaiņa.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 </w:t>
      </w:r>
      <w:r w:rsidR="00000000" w:rsidRPr="00000000" w:rsidDel="00000000">
        <w:rPr>
          <w:rtl w:val="0"/>
        </w:rPr>
        <w:t xml:space="preserve">– pārrēķinātais karstā ūdens apjoms (m³) dzīvoklim, mākslinieka darbnīcai vai nedzīvojamai telpai, ja veidojas ūdens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(m³) dzīvoklī, mākslinieka darbnīcā vai nedzīvojamā telpā, kas uzskaitīts ar ūdens skaitītāju dzīvojamās mājas īpašumā;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starpība (m³);</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(m³)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5260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(euro) par norēķina periodā patērēto karsto ūdeni;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(m³) dzīvoklim, mākslinieka darbnīcai vai nedzīvojamai telpai, ja veidojas ūdens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(MWh/m³) karstā ūdens patēriņam, ko lieto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811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8117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10.3. viena kvadrātmetra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8100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8100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10.4. norēķina periodā maksu par viena kvadrātmetra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norēķina periodā karstā ūdens cirkulāciju (euro/m²);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 </w:t>
      </w:r>
      <w:r w:rsidR="00000000" w:rsidRPr="00000000" w:rsidDel="00000000">
        <w:rPr>
          <w:rtl w:val="0"/>
        </w:rPr>
        <w:t xml:space="preserve">– konkrētā dzīvokļa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(euro/m²).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dzīvojamās mājas ievadā ar siltumenerģijas skaitītāju norēķina periodā uzskaitītais kopējais siltumenerģijas patēriņš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kopējo karstā ūdens cirkulāciju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 viena kvadrātmetra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810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81000"/>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11.4. maksu par viena kvadrātmetra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(euro/m²);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11.5.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9335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335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(euro) par karstā ūdens cirkulāciju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(euro/m²).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Dzīvojamās mājas īpašnieks sedz izdevumus par karstā ūdens cirkulācijai patērētās siltumenerģijas daudzumu, arī 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dzīvoklī, mākslinieka darbnīcā vai nedzīvojamā telpā norēķina periodā ir demontēts dvieļu žāvētājs.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59067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karsto ūdeni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Aprēķināto daļu no ēkas kopējā siltumenerģijas patēriņa norēķina periodā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22872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darbnīcai un nedzīvojamai telpai, ko nosaka neatkarīgs eksperts vai dzīvojamās mājas īpašnieki, ievērojot, ka 0 &lt; a&lt;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dzīvojamās mājas ievadā ar siltumenerģijas skaitītāju norēķina periodā uzskaitītais kopējais siltumenerģijas patēriņš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4382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(euro)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562100"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dzīvojamās mājas ievadā ar siltumenerģijas skaitītāju norēķina periodā uzskaitītais kopējais siltumenerģijas patēriņš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(MWh)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noteikumu_(grozījumu)_projekts_p2_24-TA-729.docx</dc:title>
</cp:coreProperties>
</file>

<file path=docProps/custom.xml><?xml version="1.0" encoding="utf-8"?>
<Properties xmlns="http://schemas.openxmlformats.org/officeDocument/2006/custom-properties" xmlns:vt="http://schemas.openxmlformats.org/officeDocument/2006/docPropsVTypes"/>
</file>