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[24-TA-729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[24-TA-729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 un karstā ūdens cirkulāciju sadalot uz dzīvojamās ēkas īpašumu skaitu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izmantojot dzīvokļos, mākslinieka darbnīcās un nedzīvojamās telpās uzstādīto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izmantojot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izmantojot siltumenerģijas patēriņa noteikšanas sistēmu, izmantojot tiešsaistē periodiski fiksētus siltumnesēja caurplūdes un apkures cauruļvadu virsmu temperatūras datus,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(euro)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(m³);</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(oC) pēc karstā ūdens siltummaiņa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(oC) pirms karstā ūdens siltummaiņa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(MWh/m³)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(m³);</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(oC) pēc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(oC) pirms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(m³)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(m³) saskaņā ar šo noteikumu 11. punktu,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pielietojot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norēķina periodā maksu par viena kvadrātmetra karstā ūdens cirkulāciju aprēķina pēc formulas: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(euro/MWh);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(euro)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Dzīvojamās mājas īpašnieks sedz izdevumus par karstā ūdens cirkulācijai patērētās siltumenerģijas daudzumu, arī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906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 </w:t>
      </w:r>
      <w:r w:rsidR="00000000" w:rsidRPr="00000000" w:rsidDel="00000000">
        <w:rPr>
          <w:rtl w:val="0"/>
        </w:rPr>
        <w:t xml:space="preserve">– norēķina periodā maksājamā daļa (euro)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noteikumu_(grozījumu)_projekts_p3_24-TA-729.docx</dc:title>
</cp:coreProperties>
</file>

<file path=docProps/custom.xml><?xml version="1.0" encoding="utf-8"?>
<Properties xmlns="http://schemas.openxmlformats.org/officeDocument/2006/custom-properties" xmlns:vt="http://schemas.openxmlformats.org/officeDocument/2006/docPropsVTypes"/>
</file>