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[24-TA-729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[24-TA-729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"26.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15.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524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Metodika par siltumenerģiju maksājamās daļas noteikšanai, ievērojot ēkas siltumenerģijas patēriņa veidu (apkure, karstā ūdens nodrošināšana) un siltumenerģiju uzskaitot ar siltumenerģijas skaitītāju dzīvojamās mājas ievadā un ar siltumenerģijas patēriņa noteikšanas sistēmu, izmantojot tiešsaistē periodiski fiksētus siltumnesēja caurplūdes un apkures cauruļvadu virsmu temperatūras datus, dzīvokļos, nedzīvojamās telpās vai mākslinieka darbnīcās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7632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07632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00100"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800100"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(MWh)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876300" cy="3619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876300" cy="361950"/>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(MWh/m³);</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(m³).</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24000"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524000"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(MWh/m³);</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(m³);</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65735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65735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(°C);</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(°C).</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Ja veidojas ūdens patēriņa starpība, veic ūdens patēriņa pārrēķinu saskaņā ar šo noteikumu 10., 11., 11.¹ un 11.² 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41935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419350" cy="29527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(m³)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(m³) dzīvoklī, mākslinieka darbnīcā vai nedzīvojamā telpā, kas uzskaitīts ar ūdens skaitītāju dzīvojamās mājas īpašumā;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(m³);</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(m³) saskaņā ar šo noteikumu 11., 11.¹ un 11.² 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752600"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752600"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 </w:t>
      </w:r>
      <w:r w:rsidR="00000000" w:rsidRPr="00000000" w:rsidDel="00000000">
        <w:rPr>
          <w:rtl w:val="0"/>
        </w:rPr>
        <w:t xml:space="preserve">– konkrētā dzīvokļa, mākslinieka darbnīcas vai nedzīvojamās telpas maksa par norēķina periodā patērēto karsto ūdeni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(m³)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(MWh/m³) karstā ūdens patēriņam, ko lieto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47775"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9.¹ Koplietošanas telpu apkures un karstā ūdens cirkulācijai līdz dzīvokļiem, mākslinieka darbnīcām un nedzīvojamām telpām norēķina periodā patērēto siltumenerģijas daudzuma proporciju pret dzīvokļu, mākslinieka darbnīcu un nedzīvojamo telpu patērētās, ar siltumenerģijas patēriņa noteikšanas sistēmu, izmantojot tiešsaistē periodiski fiksētus siltumnesēja caurplūdes un apkures cauruļvadu virsmu temperatūras datus, uzskaitīto siltumenerģijas daudzumu, nosaka vienā no šādiem veidiem: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9.¹ 1. saskaņā ar šo noteikumu 21. pielikumu;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9.¹ 2. neatkarīgs eksperts saskaņā ar standartu LVS EN 834+AC:2021 "Siltumenerģijas patēriņa noteicēji dzīvokļa apsildes radiatoriem. Ierīces ar elektroenerģijas avotu".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Ja veidojas starpība starp aprēķināto daudzumu un ar siltumenerģijas patēriņa noteikšanas sistēmu, izmantojot tiešsaistē periodiski fiksētus siltumnesēja caurplūdes un apkures cauruļvadu virsmu temperatūras datus, dzīvokļos, nedzīvojamās telpās vai mākslinieka darbnīcās uzskaitīto siltumenerģijas daudzumu, tiek veikts siltumenerģijas patēriņa pārrēķins: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525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35255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w:t>
      </w:r>
      <w:r w:rsidR="00000000" w:rsidRPr="00000000" w:rsidDel="00000000">
        <w:rPr>
          <w:rtl w:val="0"/>
        </w:rPr>
        <w:t xml:space="preserve"> –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 </w:t>
      </w:r>
      <w:r w:rsidR="00000000" w:rsidRPr="00000000" w:rsidDel="00000000">
        <w:rPr>
          <w:rtl w:val="0"/>
        </w:rPr>
        <w:t xml:space="preserve">– konkrētā dzīvokļa, mākslinieka darbnīcas vai nedzīvojamās telpas apkurei patērētās siltumenerģijas daudzums (MWh), kas uzskaitīts ar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Norēķina periodā siltumenerģijas patēriņa korekciju, kas attiecināma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52500" cy="39052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952500" cy="39052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dzīvokļa, mākslinieka darbnīcas vai nedzīvojamās telpas vienu apkurināmās platības kvadrātmetru attiecināmais siltumenerģijas patēriņš koplietošanas telpu apkurei un siltumnesēja cirkulācijas nodrošināšanai (MWh/m²);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w:t>
      </w:r>
      <w:r w:rsidR="00000000" w:rsidRPr="00000000" w:rsidDel="00000000">
        <w:rPr>
          <w:rtl w:val="0"/>
        </w:rPr>
        <w:t xml:space="preserve"> –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Norēķina periodā maksu par dzīvokļa, nedzīvojamās telpas vai mākslinieka darbnīcas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905125" cy="361950"/>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2905125" cy="361950"/>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 </w:t>
      </w:r>
      <w:r w:rsidR="00000000" w:rsidRPr="00000000" w:rsidDel="00000000">
        <w:rPr>
          <w:rtl w:val="0"/>
        </w:rPr>
        <w:t xml:space="preserve">– uz dzīvokļa, mākslinieka darbnīcas vai nedzīvojamās telpas vienu apkurināmās platības kvadrātmetru attiecināmais siltumenerģijas patēriņš koplietošanas telpu apkurei un siltumnesēja cirkulācijas nodrošināšanai (MWh/m²);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Norēķina periodā maksājamo daļu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8585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08585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w:t>
      </w:r>
      <w:r w:rsidR="00000000" w:rsidRPr="00000000" w:rsidDel="00000000">
        <w:rPr>
          <w:rtl w:val="0"/>
        </w:rPr>
        <w:t xml:space="preserve"> – maksājamā daļa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Norēķina periodā aprēķināto daļu no ēkas kopējā siltumenerģijas patēriņa nosaka atbilstoši: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15.2. neatkarīga eksperta veiktajam aprēķinam.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28725"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228725"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438275"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(euro) par siltumapgādi dzīvoklim, nedzīvojamai telpai vai mākslinieka darbnīcai,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562100"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 kas uzskaitīts ar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 </w:t>
      </w:r>
      <w:r w:rsidR="00000000" w:rsidRPr="00000000" w:rsidDel="00000000">
        <w:rPr>
          <w:rtl w:val="0"/>
        </w:rPr>
        <w:t xml:space="preserve">–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noteikumu_(grozījumu)_projekts_p5_24-TA-729.docx</dc:title>
</cp:coreProperties>
</file>

<file path=docProps/custom.xml><?xml version="1.0" encoding="utf-8"?>
<Properties xmlns="http://schemas.openxmlformats.org/officeDocument/2006/custom-properties" xmlns:vt="http://schemas.openxmlformats.org/officeDocument/2006/docPropsVTypes"/>
</file>