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6.</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[24-TA-729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[24-TA-729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"27.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2015. gada 15. septembra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524</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Metodika par siltumenerģiju maksājamās daļas noteikšanai, ievērojot ēkas siltumenerģijas patēriņa veidu (apkure) un siltumenerģiju uzskaitot ar siltumenerģijas skaitītāju dzīvojamās mājas ievadā un ar siltumenerģijas patēriņa noteikšanas sistēmu, izmantojot tiešsaistē periodiski fiksētus siltumnesēja caurplūdes un apkures cauruļvadu virsmu temperatūras datus, dzīvokļos, nedzīvojamās telpās vai mākslinieka darbnīcās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Norēķina periodā patērētās siltumenerģijas kopējo daudzumu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676275" cy="295275"/>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676275" cy="295275"/>
                    </a:xfrm>
                    <a:prstGeom prst="rect"/>
                    <a:ln/>
                  </pic:spPr>
                </pic:pic>
              </a:graphicData>
            </a:graphic>
          </wp:inline>
        </w:drawing>
      </w:r>
      <w:r w:rsidR="00000000" w:rsidRPr="00000000" w:rsidDel="00000000">
        <w:rPr>
          <w:rtl w:val="0"/>
        </w:rPr>
        <w:t xml:space="preserve">  (1)</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apkurei norēķina periodā patērētās siltumenerģijas daudzums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Dzīvojamā mājā patērētās siltumenerģijas kopējās izmaksas norēķina periodā aprēķina, izmantojot šādu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790575" cy="295275"/>
            <wp:effectExtent t="0" b="0" r="0" l="0"/>
            <wp:docPr id="10" name="media/image10.png"/>
            <a:graphic>
              <a:graphicData uri="http://schemas.openxmlformats.org/drawingml/2006/picture">
                <pic:pic>
                  <pic:nvPicPr>
                    <pic:cNvPr id="10" name="media/image10.png"/>
                    <pic:cNvPicPr/>
                  </pic:nvPicPr>
                  <pic:blipFill>
                    <a:blip r:embed="rId10"/>
                    <a:srcRect/>
                    <a:stretch>
                      <a:fillRect/>
                    </a:stretch>
                  </pic:blipFill>
                  <pic:spPr>
                    <a:xfrm>
                      <a:ext cx="790575" cy="295275"/>
                    </a:xfrm>
                    <a:prstGeom prst="rect"/>
                    <a:ln/>
                  </pic:spPr>
                </pic:pic>
              </a:graphicData>
            </a:graphic>
          </wp:inline>
        </w:drawing>
      </w:r>
      <w:r w:rsidR="00000000" w:rsidRPr="00000000" w:rsidDel="00000000">
        <w:rPr>
          <w:rtl w:val="0"/>
        </w:rPr>
        <w:t xml:space="preserve">  (2)</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 – dzīvojamā mājā patērētās siltumenerģijas kopējās izmaksas (euro);</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 – siltumenerģijas tarifs (euro/MWh) ar pievienotās vērtības nodokli (PVN).</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Norēķina periodā apkurei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981075" cy="295275"/>
            <wp:effectExtent t="0" b="0" r="0" l="0"/>
            <wp:docPr id="11" name="media/image11.png"/>
            <a:graphic>
              <a:graphicData uri="http://schemas.openxmlformats.org/drawingml/2006/picture">
                <pic:pic>
                  <pic:nvPicPr>
                    <pic:cNvPr id="11" name="media/image11.png"/>
                    <pic:cNvPicPr/>
                  </pic:nvPicPr>
                  <pic:blipFill>
                    <a:blip r:embed="rId11"/>
                    <a:srcRect/>
                    <a:stretch>
                      <a:fillRect/>
                    </a:stretch>
                  </pic:blipFill>
                  <pic:spPr>
                    <a:xfrm>
                      <a:ext cx="981075" cy="295275"/>
                    </a:xfrm>
                    <a:prstGeom prst="rect"/>
                    <a:ln/>
                  </pic:spPr>
                </pic:pic>
              </a:graphicData>
            </a:graphic>
          </wp:inline>
        </w:drawing>
      </w:r>
      <w:r w:rsidR="00000000" w:rsidRPr="00000000" w:rsidDel="00000000">
        <w:rPr>
          <w:rtl w:val="0"/>
        </w:rPr>
        <w:t xml:space="preserve">  (3)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w:t>
      </w:r>
      <w:r w:rsidR="00000000" w:rsidRPr="00000000" w:rsidDel="00000000">
        <w:rPr>
          <w:rtl w:val="0"/>
        </w:rPr>
        <w:t xml:space="preserve"> – apkurei patērētās siltumenerģijas daudzums (MWh), kas dzīvokļos, mākslinieka darbnīcās un nedzīvojamās telpās uzskaitīts, pielietojot siltumenerģijas patēriņa noteikšanas sistēmu, izmantojot tiešsaistē periodiski fiksētus siltumnesēja caurplūdes un apkures cauruļvadu virsmu temperatūras datus;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w:t>
      </w:r>
      <w:r w:rsidR="00000000" w:rsidRPr="00000000" w:rsidDel="00000000">
        <w:rPr>
          <w:rtl w:val="0"/>
        </w:rPr>
        <w:t xml:space="preserve"> – konkrētā dzīvokļa, mākslinieka darbnīcas vai nedzīvojamās telpas apkurei patērētās siltumenerģijas daudzums (MWh), kas uzskaitīts ar siltumenerģijas patēriņa noteikšanas sistēmu, izmantojot tiešsaistē periodiski fiksētus siltumnesēja caurplūdes un apkures cauruļvadu virsmu temperatūras datus.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3.¹ Koplietošanas telpu apkures un karstā ūdens cirkulācijai līdz dzīvokļiem, mākslinieka darbnīcām un nedzīvojamām telpām norēķina periodā patērēto siltumenerģijas daudzuma proporciju pret dzīvokļu, mākslinieka darbnīcu un nedzīvojamo telpu patērētās siltumenerģijas daudzumu, kas sadalāms, pielietojot siltumenerģijas patēriņa noteikšanas sistēmu, izmantojot tiešsaistē periodiski fiksētus siltumnesēja caurplūdes un apkures cauruļvadu virsmu temperatūras datus, nosaka vienā no šādiem veidiem: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3.¹  1. saskaņā ar šo noteikumu 21. pielikumu;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3.¹ 2. neatkarīgs eksperts saskaņā ar standartu LVS EN 834+AC:2021 "Siltumenerģijas patēriņa noteicēji dzīvokļa apsildes radiatoriem. Ierīces ar elektroenerģijas avotu".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Ja veidojas starpība starp mājas siltummezglā uzstādītā siltumenerģijas skaitītāja ar siltumenerģijas patēriņa noteikšanas sistēmu, izmantojot tiešsaistē periodiski fiksētus siltumnesēja caurplūdes un apkures cauruļvadu virsmu temperatūras datus, dzīvokļos, nedzīvojamās telpās un mākslinieka darbnīcās uzskaitīto siltumenerģijas daudzumu, tiek veikts siltumenerģijas patēriņa pārrēķins: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28725" cy="295275"/>
            <wp:effectExtent t="0" b="0" r="0" l="0"/>
            <wp:docPr id="12" name="media/image12.png"/>
            <a:graphic>
              <a:graphicData uri="http://schemas.openxmlformats.org/drawingml/2006/picture">
                <pic:pic>
                  <pic:nvPicPr>
                    <pic:cNvPr id="12" name="media/image12.png"/>
                    <pic:cNvPicPr/>
                  </pic:nvPicPr>
                  <pic:blipFill>
                    <a:blip r:embed="rId12"/>
                    <a:srcRect/>
                    <a:stretch>
                      <a:fillRect/>
                    </a:stretch>
                  </pic:blipFill>
                  <pic:spPr>
                    <a:xfrm>
                      <a:ext cx="1228725" cy="295275"/>
                    </a:xfrm>
                    <a:prstGeom prst="rect"/>
                    <a:ln/>
                  </pic:spPr>
                </pic:pic>
              </a:graphicData>
            </a:graphic>
          </wp:inline>
        </w:drawing>
      </w:r>
      <w:r w:rsidR="00000000" w:rsidRPr="00000000" w:rsidDel="00000000">
        <w:rPr>
          <w:rtl w:val="0"/>
        </w:rPr>
        <w:t xml:space="preserve">  (4)</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kopl</w:t>
      </w:r>
      <w:r w:rsidR="00000000" w:rsidRPr="00000000" w:rsidDel="00000000">
        <w:rPr>
          <w:vertAlign w:val="subscript"/>
          <w:rtl w:val="0"/>
        </w:rPr>
        <w:t xml:space="preserve">.</w:t>
      </w:r>
      <w:r w:rsidR="00000000" w:rsidRPr="00000000" w:rsidDel="00000000">
        <w:rPr>
          <w:rtl w:val="0"/>
        </w:rPr>
        <w:t xml:space="preserve"> – kopējais siltumenerģijas patēriņš (MWh) koplietošanas telpu apkurei un siltumnesēja cirkulācijas nodrošināšanai līdz atsevišķiem dzīvokļiem, mākslinieka darbnīcām vai nedzīvojamām telpām (ja mājas dzīvokļos, mākslinieka darbnīcās vai nedzīvojamās telpās ir uzstādīti siltumenerģijas patēriņa noteikšanas sistēmas sensori) norēķina periodā;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w:t>
      </w:r>
      <w:r w:rsidR="00000000" w:rsidRPr="00000000" w:rsidDel="00000000">
        <w:rPr>
          <w:rtl w:val="0"/>
        </w:rPr>
        <w:t xml:space="preserve"> – apkurei patērētās siltumenerģijas daudzums (MWh), kas dzīvokļos, mākslinieka darbnīcās un nedzīvojamās telpās uzskaitīts, pielietojot siltumenerģijas patēriņa noteikšanas sistēmu, izmantojot tiešsaistē periodiski fiksētus siltumnesēja caurplūdes un apkures cauruļvadu virsmu temperatūras datus.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 Norēķina periodā siltumenerģijas patēriņa korekcijas daudzumu, kas attiecināms uz vienu dzīvokļa, nedzīvojamās telpas vai mākslinieka darbnīcas apkurināmās platības kvadrātmetru,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981075" cy="390525"/>
            <wp:effectExtent t="0" b="0" r="0" l="0"/>
            <wp:docPr id="13" name="media/image13.png"/>
            <a:graphic>
              <a:graphicData uri="http://schemas.openxmlformats.org/drawingml/2006/picture">
                <pic:pic>
                  <pic:nvPicPr>
                    <pic:cNvPr id="13" name="media/image13.png"/>
                    <pic:cNvPicPr/>
                  </pic:nvPicPr>
                  <pic:blipFill>
                    <a:blip r:embed="rId13"/>
                    <a:srcRect/>
                    <a:stretch>
                      <a:fillRect/>
                    </a:stretch>
                  </pic:blipFill>
                  <pic:spPr>
                    <a:xfrm>
                      <a:ext cx="981075" cy="390525"/>
                    </a:xfrm>
                    <a:prstGeom prst="rect"/>
                    <a:ln/>
                  </pic:spPr>
                </pic:pic>
              </a:graphicData>
            </a:graphic>
          </wp:inline>
        </w:drawing>
      </w:r>
      <w:r w:rsidR="00000000" w:rsidRPr="00000000" w:rsidDel="00000000">
        <w:rPr>
          <w:rtl w:val="0"/>
        </w:rPr>
        <w:t xml:space="preserve">  (5)</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apk.īp.kopl.</w:t>
      </w:r>
      <w:r w:rsidR="00000000" w:rsidRPr="00000000" w:rsidDel="00000000">
        <w:rPr>
          <w:rtl w:val="0"/>
        </w:rPr>
        <w:t xml:space="preserve"> – uz vienu dzīvokļa, mākslinieka darbnīcas vai nedzīvojamās telpas apkurināmās platības kvadrātmetru attiecināmais siltumenerģijas patēriņš (MWh/m²) koplietošanas telpu apkurei un siltumnesēja cirkulācijas nodrošināšanai;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kopl</w:t>
      </w:r>
      <w:r w:rsidR="00000000" w:rsidRPr="00000000" w:rsidDel="00000000">
        <w:rPr>
          <w:vertAlign w:val="subscript"/>
          <w:rtl w:val="0"/>
        </w:rPr>
        <w:t xml:space="preserve">. </w:t>
      </w:r>
      <w:r w:rsidR="00000000" w:rsidRPr="00000000" w:rsidDel="00000000">
        <w:rPr>
          <w:rtl w:val="0"/>
        </w:rPr>
        <w:t xml:space="preserve">– kopējais siltumenerģijas patēriņš (MWh) koplietošanas telpu apkurei un siltumnesēja cirkulācijas nodrošināšanai līdz atsevišķiem dzīvokļiem, mākslinieka darbnīcām vai nedzīvojamām telpām (ja mājas dzīvokļos, mākslinieka darbnīcās vai nedzīvojamās telpās ir uzstādīti siltumenerģijas patēriņa noteikšanas sistēmas sensori) norēķina periodā;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mājas kopējā apkurināmā platība (m²).</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 Norēķina periodā maksu par dzīvokļa, nedzīvojamās telpas vai mākslinieka darbnīcas apkuri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905125" cy="361950"/>
            <wp:effectExtent t="0" b="0" r="0" l="0"/>
            <wp:docPr id="14" name="media/image14.png"/>
            <a:graphic>
              <a:graphicData uri="http://schemas.openxmlformats.org/drawingml/2006/picture">
                <pic:pic>
                  <pic:nvPicPr>
                    <pic:cNvPr id="14" name="media/image14.png"/>
                    <pic:cNvPicPr/>
                  </pic:nvPicPr>
                  <pic:blipFill>
                    <a:blip r:embed="rId14"/>
                    <a:srcRect/>
                    <a:stretch>
                      <a:fillRect/>
                    </a:stretch>
                  </pic:blipFill>
                  <pic:spPr>
                    <a:xfrm>
                      <a:ext cx="2905125" cy="361950"/>
                    </a:xfrm>
                    <a:prstGeom prst="rect"/>
                    <a:ln/>
                  </pic:spPr>
                </pic:pic>
              </a:graphicData>
            </a:graphic>
          </wp:inline>
        </w:drawing>
      </w:r>
      <w:r w:rsidR="00000000" w:rsidRPr="00000000" w:rsidDel="00000000">
        <w:rPr>
          <w:rtl w:val="0"/>
        </w:rPr>
        <w:t xml:space="preserve">  (6)</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konkrētā dzīvokļa, mākslinieka darbnīcas vai nedzīvojamās telpas maksa par apkuri norēķina periodā (euro);</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w:t>
      </w:r>
      <w:r w:rsidR="00000000" w:rsidRPr="00000000" w:rsidDel="00000000">
        <w:rPr>
          <w:rtl w:val="0"/>
        </w:rPr>
        <w:t xml:space="preserve"> – konkrētā dzīvokļa, mākslinieka darbnīcas vai nedzīvojamās telpas apkurei patērētās siltumenerģijas daudzums (MWh), kas uzskaitīts ar siltumenerģijas patēriņa noteikšanas sistēmu, izmantojot tiešsaistē periodiski fiksētus siltumnesēja caurplūdes un apkures cauruļvadu virsmu temperatūras datus;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apk.īp.kopl. </w:t>
      </w:r>
      <w:r w:rsidR="00000000" w:rsidRPr="00000000" w:rsidDel="00000000">
        <w:rPr>
          <w:rtl w:val="0"/>
        </w:rPr>
        <w:t xml:space="preserve">– uz vienu dzīvokļa, mākslinieka darbnīcas vai nedzīvojamās telpas apkurināmās platības kvadrātmetru attiecināmais siltumenerģijas patēriņš (MWh/m²) koplietošanas telpu apkurei un siltumnesēja cirkulācijas nodrošināšanai;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īp.dz.</w:t>
      </w:r>
      <w:r w:rsidR="00000000" w:rsidRPr="00000000" w:rsidDel="00000000">
        <w:rPr>
          <w:rtl w:val="0"/>
        </w:rPr>
        <w:t xml:space="preserve"> – konkrētā dzīvokļa iekštelpu platība (m²);</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īp.ndzi.</w:t>
      </w:r>
      <w:r w:rsidR="00000000" w:rsidRPr="00000000" w:rsidDel="00000000">
        <w:rPr>
          <w:rtl w:val="0"/>
        </w:rPr>
        <w:t xml:space="preserve"> – konkrētā nedzīvojamo telpu vai mākslinieka darbnīcu iekštelpu platība (m²);</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 – siltumenerģijas tarifs (euro/MWh) ar pievienotās vērtības nodokli (PVN).</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 Norēķina periodā maksājamo daļu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647700" cy="295275"/>
            <wp:effectExtent t="0" b="0" r="0" l="0"/>
            <wp:docPr id="15" name="media/image15.png"/>
            <a:graphic>
              <a:graphicData uri="http://schemas.openxmlformats.org/drawingml/2006/picture">
                <pic:pic>
                  <pic:nvPicPr>
                    <pic:cNvPr id="15" name="media/image15.png"/>
                    <pic:cNvPicPr/>
                  </pic:nvPicPr>
                  <pic:blipFill>
                    <a:blip r:embed="rId15"/>
                    <a:srcRect/>
                    <a:stretch>
                      <a:fillRect/>
                    </a:stretch>
                  </pic:blipFill>
                  <pic:spPr>
                    <a:xfrm>
                      <a:ext cx="647700" cy="295275"/>
                    </a:xfrm>
                    <a:prstGeom prst="rect"/>
                    <a:ln/>
                  </pic:spPr>
                </pic:pic>
              </a:graphicData>
            </a:graphic>
          </wp:inline>
        </w:drawing>
      </w:r>
      <w:r w:rsidR="00000000" w:rsidRPr="00000000" w:rsidDel="00000000">
        <w:rPr>
          <w:rtl w:val="0"/>
        </w:rPr>
        <w:t xml:space="preserve">  (7)</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īp</w:t>
      </w:r>
      <w:r w:rsidR="00000000" w:rsidRPr="00000000" w:rsidDel="00000000">
        <w:rPr>
          <w:vertAlign w:val="subscript"/>
          <w:rtl w:val="0"/>
        </w:rPr>
        <w:t xml:space="preserve">. </w:t>
      </w:r>
      <w:r w:rsidR="00000000" w:rsidRPr="00000000" w:rsidDel="00000000">
        <w:rPr>
          <w:rtl w:val="0"/>
        </w:rPr>
        <w:t xml:space="preserve">– maksājamā daļa (euro);</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konkrētā dzīvokļa, mākslinieka darbnīcas vai nedzīvojamās telpas maksa par apkuri norēķina periodā (euro).</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8. Ja dzīvoklis, nedzīvojamā telpa vai mākslinieka darbnīca ir atvienota no dzīvojamās mājas kopējās apkures apgādes sistēmas, dzīvojamās mājas īpašnieks maksā par patērētās siltumenerģijas daļu (piemēram, koplietošanas vajadzībām patērēto siltumenerģiju apkurei, dzīvoklī, nedzīvojamā telpā vai mākslinieka darbnīcā esošajiem dzīvojamās mājas apkures apgādes sistēmas elementiem, kas ietekmē dzīvokļa, nedzīvojamās telpas vai mākslinieka darbnīcas siltumenerģijas patēriņa bilanci).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9. Norēķina periodā aprēķināto daļu no ēkas kopējā siltumenerģijas patēriņa nosaka atbilstoši: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9.1. dzīvojamās mājas īpašnieku lēmumam, kurā ir noteikta no apkures apgādes sistēmas atvienotā dzīvokļa, nedzīvojamās telpas vai mākslinieka darbnīcas maksājamā daļa, ja šim lēmumam ir piekritis tās īpašnieks;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9.2. neatkarīga eksperta veiktajam aprēķinam.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10. No dzīvojamās mājas kopējās apkures apgādes sistēmas atvienotā dzīvokļa, nedzīvojamās telpas vai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mākslinieka darbnīcas siltumenerģijas patēriņš norēķina periodā tiek noteikts,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28725" cy="295275"/>
            <wp:effectExtent t="0" b="0" r="0" l="0"/>
            <wp:docPr id="16" name="media/image16.png"/>
            <a:graphic>
              <a:graphicData uri="http://schemas.openxmlformats.org/drawingml/2006/picture">
                <pic:pic>
                  <pic:nvPicPr>
                    <pic:cNvPr id="16" name="media/image16.png"/>
                    <pic:cNvPicPr/>
                  </pic:nvPicPr>
                  <pic:blipFill>
                    <a:blip r:embed="rId16"/>
                    <a:srcRect/>
                    <a:stretch>
                      <a:fillRect/>
                    </a:stretch>
                  </pic:blipFill>
                  <pic:spPr>
                    <a:xfrm>
                      <a:ext cx="1228725" cy="295275"/>
                    </a:xfrm>
                    <a:prstGeom prst="rect"/>
                    <a:ln/>
                  </pic:spPr>
                </pic:pic>
              </a:graphicData>
            </a:graphic>
          </wp:inline>
        </w:drawing>
      </w:r>
      <w:r w:rsidR="00000000" w:rsidRPr="00000000" w:rsidDel="00000000">
        <w:rPr>
          <w:rtl w:val="0"/>
        </w:rPr>
        <w:t xml:space="preserve">  (8)</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(MWh) norēķina periodā atbilstoši neatkarīga eksperta veiktajam aprēķinam vai dzīvojamās mājas īpašnieku lēmumam ēkas dzīvoklim, mākslinieka darbnīcai vai nedzīvojamai telpai, kas atvienota no mājas kopējās apkures apgādes sistēmas;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 – patērētās siltumenerģijas daļa no ēkas kopējā siltumenerģijas patēriņa atvienotajam dzīvoklim, mākslinieka darbnīcai un nedzīvojamai telpai, ko nosaka neatkarīgs eksperts vai dzīvojamās mājas īpašnieki, ievērojot, ka 0 &lt; a &lt; 1;</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 Norēķina periodā maksu par siltumenerģiju dzīvoklim, nedzīvojamai telpai vai mākslinieka darbnīcai, kas atvienota no mājas kopējās apkures sistēmas,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38275" cy="295275"/>
            <wp:effectExtent t="0" b="0" r="0" l="0"/>
            <wp:docPr id="17" name="media/image17.png"/>
            <a:graphic>
              <a:graphicData uri="http://schemas.openxmlformats.org/drawingml/2006/picture">
                <pic:pic>
                  <pic:nvPicPr>
                    <pic:cNvPr id="17" name="media/image17.png"/>
                    <pic:cNvPicPr/>
                  </pic:nvPicPr>
                  <pic:blipFill>
                    <a:blip r:embed="rId17"/>
                    <a:srcRect/>
                    <a:stretch>
                      <a:fillRect/>
                    </a:stretch>
                  </pic:blipFill>
                  <pic:spPr>
                    <a:xfrm>
                      <a:ext cx="1438275" cy="295275"/>
                    </a:xfrm>
                    <a:prstGeom prst="rect"/>
                    <a:ln/>
                  </pic:spPr>
                </pic:pic>
              </a:graphicData>
            </a:graphic>
          </wp:inline>
        </w:drawing>
      </w:r>
      <w:r w:rsidR="00000000" w:rsidRPr="00000000" w:rsidDel="00000000">
        <w:rPr>
          <w:rtl w:val="0"/>
        </w:rPr>
        <w:t xml:space="preserve">  (9)</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apk.atsl.</w:t>
      </w:r>
      <w:r w:rsidR="00000000" w:rsidRPr="00000000" w:rsidDel="00000000">
        <w:rPr>
          <w:rtl w:val="0"/>
        </w:rPr>
        <w:t xml:space="preserve"> – maksājamā daļa (euro) par norēķina perioda siltumapgādi dzīvoklim, nedzīvojamai telpai vai mākslinieka darbnīcai, kas atvienota no mājas kopējās apkures un karstā ūdens apgādes sistēmas;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mājas kopējās apkures apgādes sistēmas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 – siltumenerģijas tarifs (euro/MWh) ar pievienotās vērtības nodokli (PVN).</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 Norēķina periodā siltumenerģijas kopējo daudzumu, kas attiecināms uz dzīvojamās mājas kopējai apkures apgādes sistēmai pievienotajiem dzīvokļiem, nedzīvojamām telpām vai mākslinieka darbnīcām,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62100" cy="295275"/>
            <wp:effectExtent t="0" b="0" r="0" l="0"/>
            <wp:docPr id="18" name="media/image18.png"/>
            <a:graphic>
              <a:graphicData uri="http://schemas.openxmlformats.org/drawingml/2006/picture">
                <pic:pic>
                  <pic:nvPicPr>
                    <pic:cNvPr id="18" name="media/image18.png"/>
                    <pic:cNvPicPr/>
                  </pic:nvPicPr>
                  <pic:blipFill>
                    <a:blip r:embed="rId18"/>
                    <a:srcRect/>
                    <a:stretch>
                      <a:fillRect/>
                    </a:stretch>
                  </pic:blipFill>
                  <pic:spPr>
                    <a:xfrm>
                      <a:ext cx="1562100" cy="295275"/>
                    </a:xfrm>
                    <a:prstGeom prst="rect"/>
                    <a:ln/>
                  </pic:spPr>
                </pic:pic>
              </a:graphicData>
            </a:graphic>
          </wp:inline>
        </w:drawing>
      </w:r>
      <w:r w:rsidR="00000000" w:rsidRPr="00000000" w:rsidDel="00000000">
        <w:rPr>
          <w:rtl w:val="0"/>
        </w:rPr>
        <w:t xml:space="preserve">  (10)</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piesl</w:t>
      </w:r>
      <w:r w:rsidR="00000000" w:rsidRPr="00000000" w:rsidDel="00000000">
        <w:rPr>
          <w:vertAlign w:val="subscript"/>
          <w:rtl w:val="0"/>
        </w:rPr>
        <w:t xml:space="preserve">. </w:t>
      </w:r>
      <w:r w:rsidR="00000000" w:rsidRPr="00000000" w:rsidDel="00000000">
        <w:rPr>
          <w:rtl w:val="0"/>
        </w:rPr>
        <w:t xml:space="preserve">– norēķina periodā dzīvojamās mājas kopējai apkures apgādes sistēmai pievienoto dzīvokļu, nedzīvojamo telpu vai mākslinieka darbnīcu patērētās siltumenerģijas daudzums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(MWh) norēķina periodā atbilstoši neatkarīga eksperta veiktajam aprēķinam vai dzīvojamās mājas īpašnieku lēmumam ēkas dzīvoklim, mākslinieka darbnīcai vai nedzīvojamai telpai, kas atvienota no mājas kopējās apkures apgādes sistēmas."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24-TA-729</w:t>
    </w:r>
    <w:r>
      <w:br/>
    </w:r>
    <w:r w:rsidR="00000000" w:rsidRPr="00000000" w:rsidDel="00000000">
      <w:rPr>
        <w:rtl w:val="0"/>
      </w:rPr>
      <w:t xml:space="preserve">Izdrukāts 29.07.2026. 23.04 - 1.0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24-TA-729</w:t>
    </w:r>
    <w:r>
      <w:br/>
    </w:r>
    <w:r w:rsidR="00000000" w:rsidRPr="00000000" w:rsidDel="00000000">
      <w:rPr>
        <w:rtl w:val="0"/>
      </w:rPr>
      <w:t xml:space="preserve">Izdrukāts 29.07.2026. 23.04 - 1.0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 Target="media/image10.png" Type="http://schemas.openxmlformats.org/officeDocument/2006/relationships/image" Id="rId10"/><Relationship Target="media/image11.png" Type="http://schemas.openxmlformats.org/officeDocument/2006/relationships/image" Id="rId11"/><Relationship Target="media/image12.png" Type="http://schemas.openxmlformats.org/officeDocument/2006/relationships/image" Id="rId12"/><Relationship Target="media/image13.png" Type="http://schemas.openxmlformats.org/officeDocument/2006/relationships/image" Id="rId13"/><Relationship Target="media/image14.png" Type="http://schemas.openxmlformats.org/officeDocument/2006/relationships/image" Id="rId14"/><Relationship Target="media/image15.png" Type="http://schemas.openxmlformats.org/officeDocument/2006/relationships/image" Id="rId15"/><Relationship Target="media/image16.png" Type="http://schemas.openxmlformats.org/officeDocument/2006/relationships/image" Id="rId16"/><Relationship Target="media/image17.png" Type="http://schemas.openxmlformats.org/officeDocument/2006/relationships/image" Id="rId17"/><Relationship Target="media/image18.png" Type="http://schemas.openxmlformats.org/officeDocument/2006/relationships/image" Id="rId1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noteikumu_(grozījumu)_projekts_p6_24-TA-729.docx</dc:title>
</cp:coreProperties>
</file>

<file path=docProps/custom.xml><?xml version="1.0" encoding="utf-8"?>
<Properties xmlns="http://schemas.openxmlformats.org/officeDocument/2006/custom-properties" xmlns:vt="http://schemas.openxmlformats.org/officeDocument/2006/docPropsVTypes"/>
</file>