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14.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349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Aizdevuma procentu likme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20.12.2022. noteikumu Nr. 799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50"/>
        <w:gridCol w:w="2917"/>
        <w:gridCol w:w="1975"/>
        <w:gridCol w:w="1846"/>
        <w:gridCol w:w="1700"/>
        <w:tblGridChange w:id="0">
          <w:tblGrid>
            <w:gridCol w:w="450"/>
            <w:gridCol w:w="2917"/>
            <w:gridCol w:w="1975"/>
            <w:gridCol w:w="1846"/>
            <w:gridCol w:w="170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Saimnieciskās darbības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Aizdevums 1.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Aizdevums 2.–3. 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Aizdevums 4.–6.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Sīkie (mikro), mazie un vidējie saimnieciskās darbības veicēji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bāzes punkti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Lielie saimnieciskās darbības veicēji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 bāzes punkti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bāzes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 Aizdevumiem, ko piešķir līdz 2022. gada 31. decembrim, procentu likmes zemāko robežu nosaka atbilstoši Eiropas Komisijas 2022. gada 1. februārī publicētajai bāzes likmei, savukārt aizdevumiem, ko piešķir no 2023. gada 1. janvāra līdz 2023. gada 31. decembrim, procentu likmes zemāko robežu nosaka atbilstoši Eiropas Komisijas 2022. gada 1. oktobrī publicētajai bāzes likmei, visos gadījumos pieskaitot tabulā norādītās kredītriska robežas atbilstoši saimnieciskās darbības veidam un aizdevuma termiņam.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Zemākā kopējā aizdevumu likme sīkajiem (mikro), mazajiem un vidējiem saimnieciskās darbības veicējiem 1.–3. aizdevuma gadā nevar būt mazāka par 10 bāzes punktiem.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23-TA-2541</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23-TA-2541</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noteikumu_konsolidētā_versija_p_23-TA-2541.docx</dc:title>
</cp:coreProperties>
</file>

<file path=docProps/custom.xml><?xml version="1.0" encoding="utf-8"?>
<Properties xmlns="http://schemas.openxmlformats.org/officeDocument/2006/custom-properties" xmlns:vt="http://schemas.openxmlformats.org/officeDocument/2006/docPropsVTypes"/>
</file>