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septembrī (prot. Nr. 47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1.3.1. specifiskā atbalsta mērķa "Izmantot digitalizācijas priekšrocības iedzīvotājiem, uzņēmumiem, pētniecības organizācijām un publiskajām iestādēm" 1.3.1.2. pasākumu "Inovācijas laboratorija digitalizācijas priekšrocību izmantošanai"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atbildīgās iestādes funkcijas pilda Valsts kanceleja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plānotais kopējais finansējums ir 1 305 002 </w:t>
      </w:r>
      <w:r w:rsidR="00000000" w:rsidRPr="00000000" w:rsidDel="00000000">
        <w:rPr>
          <w:i w:val="1"/>
          <w:rtl w:val="0"/>
        </w:rPr>
        <w:t xml:space="preserve">euro </w:t>
      </w:r>
      <w:r w:rsidR="00000000" w:rsidRPr="00000000" w:rsidDel="00000000">
        <w:rPr>
          <w:rtl w:val="0"/>
        </w:rPr>
        <w:t xml:space="preserve">(no tā elastības finansējums 205 832 </w:t>
      </w:r>
      <w:r w:rsidR="00000000" w:rsidRPr="00000000" w:rsidDel="00000000">
        <w:rPr>
          <w:i w:val="1"/>
          <w:rtl w:val="0"/>
        </w:rPr>
        <w:t xml:space="preserve">euro</w:t>
      </w:r>
      <w:r w:rsidR="00000000" w:rsidRPr="00000000" w:rsidDel="00000000">
        <w:rPr>
          <w:rtl w:val="0"/>
        </w:rPr>
        <w:t xml:space="preserve">), tai skaitā Eiropas Reģionālās attīstības fonda finansējums 1 109 250 </w:t>
      </w:r>
      <w:r w:rsidR="00000000" w:rsidRPr="00000000" w:rsidDel="00000000">
        <w:rPr>
          <w:i w:val="1"/>
          <w:rtl w:val="0"/>
        </w:rPr>
        <w:t xml:space="preserve">euro </w:t>
      </w:r>
      <w:r w:rsidR="00000000" w:rsidRPr="00000000" w:rsidDel="00000000">
        <w:rPr>
          <w:rtl w:val="0"/>
        </w:rPr>
        <w:t xml:space="preserve">(no tā elastības finansējums 174 956 </w:t>
      </w:r>
      <w:r w:rsidR="00000000" w:rsidRPr="00000000" w:rsidDel="00000000">
        <w:rPr>
          <w:i w:val="1"/>
          <w:rtl w:val="0"/>
        </w:rPr>
        <w:t xml:space="preserve">euro</w:t>
      </w:r>
      <w:r w:rsidR="00000000" w:rsidRPr="00000000" w:rsidDel="00000000">
        <w:rPr>
          <w:rtl w:val="0"/>
        </w:rPr>
        <w:t xml:space="preserve">) un valsts budžeta līdzfinansējums 195 752 </w:t>
      </w:r>
      <w:r w:rsidR="00000000" w:rsidRPr="00000000" w:rsidDel="00000000">
        <w:rPr>
          <w:i w:val="1"/>
          <w:rtl w:val="0"/>
        </w:rPr>
        <w:t xml:space="preserve">euro </w:t>
      </w:r>
      <w:r w:rsidR="00000000" w:rsidRPr="00000000" w:rsidDel="00000000">
        <w:rPr>
          <w:rtl w:val="0"/>
        </w:rPr>
        <w:t xml:space="preserve">(no tā elastības finansējums 30 876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kopējā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saskaņā ar vienošanos par projekta īstenošanu pieejamo finansējumu līdz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valsts pārvaldes inovācijas ekosistēmas un vienota eksperimentēšanas ietvara attīstīšana, nodrošinot, ka jaunveidojamās valsts pārvaldes un pašvaldību koplietošanas platformas, kā arī citi šī specifiskā atbalsta mērķa ietvaros izveidotie vai pilnveidotie risinājumi tiek attīstīti, izmantojot inovatīvas tehnoloģijas un pieejas, tai skaitā inovācijas laboratorijas pakalpojumus, fokusējoties uz uzņēmumu attīstības vajadzībām un galveno uzmanību veltot pakalpojuma lietotājam.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publiskā sektora iestādes, kas uzlabo esošos vai attīsta jaunus digitālos pakalpojumus, produktus un procesus.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līdz 2029. gada 31. decembrim sasniedzams šāds iznākuma rādītājs – publiskā sektora iestādes, kas atbalstītas digitālo pakalpojumu, produktu un procesu izstrādei, – 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iznākuma rādītājs ir sasniegts, ja vismaz 20 publiskā sektora pakalpojumu, produktu un procesu pārveidei ir organizēts pilnveides dizaina domāšanas </w:t>
      </w:r>
      <w:r w:rsidR="00000000" w:rsidRPr="00000000" w:rsidDel="00000000">
        <w:rPr>
          <w:i w:val="1"/>
          <w:rtl w:val="0"/>
        </w:rPr>
        <w:t xml:space="preserve">sprints</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atlasē, un pasākuma atbalsts tiek sniegts granta veidā. Projekta iesniegumā pasākuma īstenošanai pieejamo finansējumu plāno ne vairāk kā 1 099 170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934 294 </w:t>
      </w:r>
      <w:r w:rsidR="00000000" w:rsidRPr="00000000" w:rsidDel="00000000">
        <w:rPr>
          <w:i w:val="1"/>
          <w:rtl w:val="0"/>
        </w:rPr>
        <w:t xml:space="preserve">euro </w:t>
      </w:r>
      <w:r w:rsidR="00000000" w:rsidRPr="00000000" w:rsidDel="00000000">
        <w:rPr>
          <w:rtl w:val="0"/>
        </w:rPr>
        <w:t xml:space="preserve">apmērā, valsts budžeta līdzfinansējumu – 164 876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kanceleja kā digitālo pakalpojumu pilnveides dizaina domāšanas </w:t>
      </w:r>
      <w:r w:rsidR="00000000" w:rsidRPr="00000000" w:rsidDel="00000000">
        <w:rPr>
          <w:i w:val="1"/>
          <w:rtl w:val="0"/>
        </w:rPr>
        <w:t xml:space="preserve">sprintu </w:t>
      </w:r>
      <w:r w:rsidR="00000000" w:rsidRPr="00000000" w:rsidDel="00000000">
        <w:rPr>
          <w:rtl w:val="0"/>
        </w:rPr>
        <w:t xml:space="preserve">organizētājs un standartizētās metodikas nodrošinātājs.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sistēmu. Ja sadarbības iestāde apstiprina projekta iesniegumu un noslēdz vienošanos par projekta īstenošanu, projekta iesniedzējs ir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inovācijas laboratorijas darbības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publisko pakalpojumu dizaina izstrāde inovācijas laboratorijas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inovācijas laboratorijas darbības attīstīšana;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starpsektoru inovāciju prototipu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ekspertu piesaiste;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digitālo dizaineru piesaiste;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personāla atlīdzības izmaksas, kuras ir šo noteikumu 13.2. apakšpunktā minētās atbalstāmās darbības attiecināmās izmaksas saskaņā ar Eiropas Parlamenta un Padomes 2021. gada 24. jūnija </w:t>
      </w:r>
      <w:r w:rsidR="00000000" w:rsidRPr="00000000" w:rsidDel="00000000">
        <w:rPr>
          <w:rtl w:val="0"/>
        </w:rPr>
        <w:t xml:space="preserve">Regulas (ES)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20 % apmērā no pārējām šo noteikumu 15.2. apakšpunktā minētajām projekta tiešajām attiecināmajām īstenošanas izmaksām. Minētās atbalstāmās darbības ietvaros ir attiecināmas finansējuma saņēmēja projekta vadības personāla un īstenošanas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tiešās attiecināmās īstenošanas izmaksas, kuras ir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minēto darbību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inovācijas laboratorijas darbības pasākumu organizēšanu un īstenošanu saistītās izmaksas, tai skaitā mācības, semināri, pieredzes apmaiņa un lektoru, ekspertu, konsultantu un moderatoru atlīdzība;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īres maksa (ja projekta aktivitāšu īstenošanai nepieciešams īrēt telpas ārpus finansējuma saņēmēja juridiskās un faktiskās uzturēšanās adreses);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pandusu nomas, indukcijas cilpu nomas, zīmju valodas tulku un vieglās valodas tulkošanas pakalpojumu izmaksas, subtitrēšanas un reāllaika transkripcijas pakalpojumu izmaksas, ja tas ir nepieciešams vides un informācijas pieejamības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regulas Nr.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Izmaksas ir attiecināmas no projekta iesnieguma iesniegšanas brīža. Projekta iesniegumā neiekļauj jau pabeigtu darbību izmaksas un finansējumu par tām nepiešķir.</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projektu, nodrošina komunikācijas un vizuālās identitātes prasību nosacījumu ievērošanu saskaņā ar regulas Nr. 2021/1060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savā tīmekļvietnē ievieto aktuālo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publiskos iepirkumus veic atklātā, pārredzamā, nediskriminējošā, konkurenci nodrošinošā un, kur attiecināms,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iznākuma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vispārīgās un specifiskās darbības, kas veicina vienlīdzību, iekļaušanu, nediskrimināciju un pamattiesību ievērošanu, kā arī rādītāju uzkrāšanu un ziņošanu;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investīcijām viedās specializācijas stratēģijas (RIS3) jomās un saistītajās jomās (ja attiecināms), informāciju ievadot Kohēzijas politikas fondu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23-TA-994</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23-TA-994</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noteikumu_projekts_23-TA-994.docx</dc:title>
</cp:coreProperties>
</file>

<file path=docProps/custom.xml><?xml version="1.0" encoding="utf-8"?>
<Properties xmlns="http://schemas.openxmlformats.org/officeDocument/2006/custom-properties" xmlns:vt="http://schemas.openxmlformats.org/officeDocument/2006/docPropsVTypes"/>
</file>