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nodevu par mēslošanas līdzekļa un substrāta reģistrāciju vai atļaujas saņemšanu mēslošanas līdzekļa un substrāta ievešanai vai tirdzniecībai, kā arī tās maksāšanas kārtību</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(Noteikumu nosaukums grozīts ar MK 22.12.2015. noteikumiem Nr. 749)</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Mēslošanas līdzekļu aprites likuma</w:t>
      </w:r>
      <w:r w:rsidR="00000000" w:rsidRPr="00000000" w:rsidDel="00000000">
        <w:rPr>
          <w:rStyle w:val="paragraph"/>
          <w:i w:val="1"/>
          <w:rtl w:val="0"/>
        </w:rPr>
        <w:t xml:space="preserve"> 16.pantu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nodevas apmēru par mēslošanas līdzekļa un substrāta reģistrāciju vai atļaujas saņemšanu mēslošanas līdzekļa un substrāta ievešanai vai tirdzniecībai, kā arī valsts nodevas maksāšanas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22.12.2015. noteikumiem Nr. 749)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nodevu par mēslošanas līdzekļa un substrāta reģistrāciju maksā ievedējs vai ražotājs. Iepakotājs valsts nodevu maksā, ja maina mēslošanas līdzekļa vai substrāta ražotāja vai ievedēja reģistrācijas apliecībā norādīto nosaukumu. Ievērojot normatīvajos aktos par mēslošanas līdzekļu un substrātu identifikāciju, kvalitātes atbilstības novērtēšanu un tirdzniecību noteikto mēslošanas līdzekļa identifikācijas grupu, valsts nodeva ir noteikta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D, E, G vai H identifikācijas grupā iekļauta mēslošanas līdzekļa reģistrāciju – 71,14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 B, C, F vai K identifikācijas grupā iekļauta mēslošanas līdzekļa un substrāta reģistrāciju – 142,29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I identifikācijas grupā iekļauta mēslošanas līdzekļa (mikrobioloģiska preparāta)  reģistrāciju – 284,57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J identifikācijas grupā iekļauta mēslošanas līdzekļa reģistrāciju – 142,29 </w:t>
      </w:r>
      <w:r w:rsidR="00000000" w:rsidRPr="00000000" w:rsidDel="00000000">
        <w:rPr>
          <w:i w:val="1"/>
          <w:rtl w:val="0"/>
        </w:rPr>
        <w:t xml:space="preserve">euro</w:t>
      </w:r>
      <w:r w:rsidR="00000000" w:rsidRPr="00000000" w:rsidDel="00000000">
        <w:rPr>
          <w:rtl w:val="0"/>
        </w:rPr>
        <w:t xml:space="preserve">. Par citā grupā reģistrēta mēslošanas līdzekļa pārreģistrāciju J identifikācijas grupā valsts nodevu nemaksā.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06.12.2011. noteikumu Nr. 943 redakcijā, kas grozīta ar MK 15.05.2012. noteikumiem Nr. 337; MK 24.09.2013. noteikumiem Nr. 997; MK 22.12.2015. noteikumiem Nr. 749; MK 18.08.2020. noteikumiem Nr. 531)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nodeva par atļaujas saņemšanu mēslošanas līdzekļa un substrāta ievešanai vai tirdzniecībai ir noteikta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atļauja reģistrēta mēslošanas līdzekļa un substrāta tirdzniecībai, ja tā testēšanas rezultāti uzrāda neatbilstību Mēslošanas līdzekļu un substrātu valsts reģistrā deklarētajai kvalitātei, - 14,23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atļauja tāda mēslošanas līdzekļa un substrāta tirdzniecībai vai ievešanai, kas nav minēts normatīvajos aktos par mēslošanas līdzekļu un substrātu identifikācijas, kvalitātes atbilstības novērtēšanas un tirdzniecības prasībām, - 71,14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atļauja nereģistrēta mēslošanas līdzekļa ievešanai efektivitātes izmēģinājumiem un pētījumiem - 142,29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atļauja mēslošanas līdzekļa un substrāta ievešanai testēšanai un reģistrācijai - 14,23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atļauja testēšanai un reģistrācijai ievesta mēslošanas līdzekļa un substrāta attiecīgās partijas tirdzniecībai - 71,14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atļauja mēslošanas līdzekļa konkrētas partijas ievešanai un tirdzniecībai, ja mēslošanas līdzekļa partija neatbilst normatīvajiem aktiem par mēslošanas līdzekļiem noteiktajām kvalitātes prasībām, - 71,14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24.09.2013. noteikumiem Nr. 997; MK 22.12.2015. noteikumiem Nr. 749)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 (Svītrots ar MK 06.12.2011. noteikumiem Nr.943)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Mēslošanas līdzekļu un substrāta reģistrācijas apliecību izsniedz uz neierobežotu laiku.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22.12.2015. noteikumiem Nr. 749)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nodevu ieskaita valsts pamatbudžetā saskaņā ar normatīvajiem aktiem par kārtību, kādā veicami maksājumi valsts budžetā un tie atzīstami par saņemtiem, un prasībām tiešsaistes maksājumu pakalpojumu izmantošanai norēķinos ar valsts budžetu.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06.12.2011. noteikumiem Nr.943)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Maksājumus valsts budžetā veic: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izmantojot tāda maksājumu pakalpojumu sniedzēja starpniecību, kuram ir tiesības sniegt maksājumu pakalpojumus Maksājumu pakalpojumu un elektroniskās naudas likuma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augu aizsardzības dienestā ar </w:t>
      </w:r>
      <w:r w:rsidR="00000000" w:rsidRPr="00000000" w:rsidDel="00000000">
        <w:rPr>
          <w:i w:val="1"/>
          <w:rtl w:val="0"/>
        </w:rPr>
        <w:t xml:space="preserve">VISA</w:t>
      </w:r>
      <w:r w:rsidR="00000000" w:rsidRPr="00000000" w:rsidDel="00000000">
        <w:rPr>
          <w:rtl w:val="0"/>
        </w:rPr>
        <w:t xml:space="preserve">, </w:t>
      </w:r>
      <w:r w:rsidR="00000000" w:rsidRPr="00000000" w:rsidDel="00000000">
        <w:rPr>
          <w:i w:val="1"/>
          <w:rtl w:val="0"/>
        </w:rPr>
        <w:t xml:space="preserve">VISA Electron</w:t>
      </w:r>
      <w:r w:rsidR="00000000" w:rsidRPr="00000000" w:rsidDel="00000000">
        <w:rPr>
          <w:rtl w:val="0"/>
        </w:rPr>
        <w:t xml:space="preserve">, </w:t>
      </w:r>
      <w:r w:rsidR="00000000" w:rsidRPr="00000000" w:rsidDel="00000000">
        <w:rPr>
          <w:i w:val="1"/>
          <w:rtl w:val="0"/>
        </w:rPr>
        <w:t xml:space="preserve">MasterCard</w:t>
      </w:r>
      <w:r w:rsidR="00000000" w:rsidRPr="00000000" w:rsidDel="00000000">
        <w:rPr>
          <w:rtl w:val="0"/>
        </w:rPr>
        <w:t xml:space="preserve">, </w:t>
      </w:r>
      <w:r w:rsidR="00000000" w:rsidRPr="00000000" w:rsidDel="00000000">
        <w:rPr>
          <w:i w:val="1"/>
          <w:rtl w:val="0"/>
        </w:rPr>
        <w:t xml:space="preserve">Maestro</w:t>
      </w:r>
      <w:r w:rsidR="00000000" w:rsidRPr="00000000" w:rsidDel="00000000">
        <w:rPr>
          <w:rtl w:val="0"/>
        </w:rPr>
        <w:t xml:space="preserve"> vai </w:t>
      </w:r>
      <w:r w:rsidR="00000000" w:rsidRPr="00000000" w:rsidDel="00000000">
        <w:rPr>
          <w:i w:val="1"/>
          <w:rtl w:val="0"/>
        </w:rPr>
        <w:t xml:space="preserve">American Express</w:t>
      </w:r>
      <w:r w:rsidR="00000000" w:rsidRPr="00000000" w:rsidDel="00000000">
        <w:rPr>
          <w:rtl w:val="0"/>
        </w:rPr>
        <w:t xml:space="preserve"> maksājumu karti maksājumu karšu pieņemšanas terminālī vai citā alternatīvā sistēmā, ja Valsts augu aizsardzības dienests vai starpniekinstitūcija to tehniski nodrošina.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06.12.2011. noteikumu Nr.943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Atzīt par spēku zaudējušiem Ministru kabineta 2002.gada 2.jūlija noteikumus Nr.285 "Noteikumi par valsts nodevu par mēslošanas līdzekļa reģistrāciju un maksāšanas kārtību" (Latvijas Vēstnesis, 2002, 102.nr.).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22-TA-51</w:t>
    </w:r>
    <w:r>
      <w:br/>
    </w:r>
    <w:r w:rsidR="00000000" w:rsidRPr="00000000" w:rsidDel="00000000">
      <w:rPr>
        <w:rtl w:val="0"/>
      </w:rPr>
      <w:t xml:space="preserve">Izdrukāts 29.07.2026. 23.53 - 1.0.VK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22-TA-51</w:t>
    </w:r>
    <w:r>
      <w:br/>
    </w:r>
    <w:r w:rsidR="00000000" w:rsidRPr="00000000" w:rsidDel="00000000">
      <w:rPr>
        <w:rtl w:val="0"/>
      </w:rPr>
      <w:t xml:space="preserve">Izdrukāts 29.07.2026. 23.53 - 1.0.VK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noteikumu_konsolidētā_versija_22-TA-51.docx</dc:title>
</cp:coreProperties>
</file>

<file path=docProps/custom.xml><?xml version="1.0" encoding="utf-8"?>
<Properties xmlns="http://schemas.openxmlformats.org/officeDocument/2006/custom-properties" xmlns:vt="http://schemas.openxmlformats.org/officeDocument/2006/docPropsVTypes"/>
</file>