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21. decembra noteikumos Nr. 877 "Grāmatvedības kārtošanas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Grāmatvedības likuma</w:t>
      </w:r>
      <w:r w:rsidR="00000000" w:rsidRPr="00000000" w:rsidDel="00000000">
        <w:rPr>
          <w:rStyle w:val="paragraph"/>
          <w:i w:val="1"/>
          <w:rtl w:val="0"/>
        </w:rPr>
        <w:t xml:space="preserve"> 5. panta trešo daļu,</w:t>
      </w:r>
      <w:r>
        <w:br/>
      </w:r>
      <w:r w:rsidR="00000000" w:rsidRPr="00000000" w:rsidDel="00000000">
        <w:rPr>
          <w:rStyle w:val="paragraph"/>
          <w:i w:val="1"/>
          <w:rtl w:val="0"/>
        </w:rPr>
        <w:t xml:space="preserve">6. panta septītās daļas 1. un 2. punktu, 8. panta ceturtās daļas</w:t>
      </w:r>
      <w:r>
        <w:br/>
      </w:r>
      <w:r w:rsidR="00000000" w:rsidRPr="00000000" w:rsidDel="00000000">
        <w:rPr>
          <w:rStyle w:val="paragraph"/>
          <w:i w:val="1"/>
          <w:rtl w:val="0"/>
        </w:rPr>
        <w:t xml:space="preserve">1. un 2. punktu, 11. panta trīspadsmito daļu,</w:t>
      </w:r>
      <w:r>
        <w:br/>
      </w:r>
      <w:r w:rsidR="00000000" w:rsidRPr="00000000" w:rsidDel="00000000">
        <w:rPr>
          <w:rStyle w:val="paragraph"/>
          <w:i w:val="1"/>
          <w:rtl w:val="0"/>
        </w:rPr>
        <w:t xml:space="preserve">12. panta ceturto daļu un 15. 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21. decembra noteikumos Nr. 877 "Grāmatvedības kārtošanas noteikumi" (Latvijas Vēstnesis, 2021, 248. nr.; 2023, 198.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25.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Attaisnojuma dokumentu (piemēram, kredītrēķinu, korektīvo rēķinu), ar kuru labo vai atsauc (anulē) iepriekš izsniegto attaisnojuma dokumentu samaksāšanai (rēķinu), kurš noformēts kā strukturēts elektronisks rēķins, ja daļēji vai pilnībā atcelts darījums vai ja iepriekš izrakstīts kļūdains rēķins, sagatavo kā strukturētu elektronisko rēķinu. Sagatavojot attaisnojuma dokumentu (piemēram, kredītrēķinu vai korektīvo rēķinu), ar kuru labo vai atsauc (anulē) iepriekš izsniegto attaisnojuma dokumentu samaksāšanai (rēķinu), tajā norāda atsauci uz rēķina numuru, kurš tiek labots vai atsaukts."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 31.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31.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 Ja attaisnojuma dokuments noformēts kā strukturēts elektronisks rēķins, tad šādu strukturētu elektronisku rēķinu datora vai citas elektroniskas ierīces ekrānā attēlo cilvēklasāmā formātā un nodrošina iespēju veidot atvasinājumu papīra formā (izdrukas)."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34.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Avansa rēķins (priekšapmaksas rēķins) ir informatīvs dokuments samaksāšanai (maksājuma pieprasījums), kuru uzņēmums izsniedz citam uzņēmumam par precēm, kas vēl nav piegādātas, vai pakalpojumiem, kas nav sniegti. Ja šādu dokumentu samaksāšanai sagatavo kā strukturētu elektronisku rēķinu un maksājums ir veikts pilnā piegādājamo preču vai sniedzamo pakalpojumu vērtības apmērā, tad var nesagatavot papildu attaisnojuma dokumentu samaksāšanai (gala rēķinu). Šādā gadījumā preču vai pakalpojumu saņemšanu apliecina preču piegādes dokuments vai kāds cits darījumu apliecinošs dokuments, kurā papildus ietverta informācija, kas nepārprotami ļauj identificēt samaksas veikšanu pilnā apjomā saskaņā ar avansa rēķinu (priekšapmaksas rēķinu)."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68.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 Nemateriālo ieguldījumu un citu bezķermenisko lietu, kā arī prasījumu un saistību (arī ārpusbilances posteņu) summas inventarizē, to apjomu pārbaudot saskaņā ar attiecīgajiem dokumentiem. Prasījumu un saistību summas salīdzina ar attiecīgajiem saimniecisko darījumu dalībniekiem (debitoriem un kreditoriem), ievērojot sekojošo: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68.1. var izmantot pašapkalpošanās portālu risinājumus;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68.2. ja darījuma partneris līdz inventarizācijas termiņa beigām nav informējis uzņēmumu par atšķirībām starp tā grāmatvedības uzskaites datiem un uzņēmuma datiem par iepriekšējo saimniecisko gadu, datus uzskata par salīdzinātiem."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68.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vertAlign w:val="superscript"/>
          <w:rtl w:val="0"/>
        </w:rPr>
        <w:t xml:space="preserve">1</w:t>
      </w:r>
      <w:r w:rsidR="00000000" w:rsidRPr="00000000" w:rsidDel="00000000">
        <w:rPr>
          <w:rtl w:val="0"/>
        </w:rPr>
        <w:t xml:space="preserve"> Bezskaidras naudas atlikumu inventarizāciju uzņēmums veic, pamatojoties uz maksājumu pakalpojumu sniedzēja (Maksājumu pakalpojumu un elektroniskās naudas likuma izpratnē) nodrošināto informāciju par klientam sniegtu finanšu pakalpojumu."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71.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Bibliotēkas krājuma (bibliotēkā esošo dokumentu kopuma) inventarizāciju Latvijas Nacionālajā bibliotēkā un citās bibliotēkās, uz kurām attiecas Bibliotēku likums, veic normatīvajos aktos bibliotēku krājumu jomā noteiktajā kārtībā un termiņos. Muzeju krājuma inventarizāciju veic normatīvajos aktos muzeju krājumu jomā noteiktajos krājuma esības pārbaužu termiņos."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72.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Budžeta iestādes pārskata gada slēguma inventarizācijā veic  prasījumu, saistību un darījumu bez atlīdzības salīdzināšanu ar vispārējās valdības sektora struktūru (izņemot šo struktūru kontrolētus un finansētus komersantus, kuru sarakstu nodrošina Centrālā statistikas pārvalde, un speciālās ekonomiskās zonas, ostu un brīvostu pārvaldes) darījuma partneriem, ievērojot kārtību, kāda noteikta uz Likuma par budžetu un finanšu vadību pamata pieņemtajos normatīvajos aktos par gada pārskata sagatavošanas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72.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vertAlign w:val="superscript"/>
          <w:rtl w:val="0"/>
        </w:rPr>
        <w:t xml:space="preserve">1</w:t>
      </w:r>
      <w:r w:rsidR="00000000" w:rsidRPr="00000000" w:rsidDel="00000000">
        <w:rPr>
          <w:rtl w:val="0"/>
        </w:rPr>
        <w:t xml:space="preserve"> Uzņēmumi pārskata gada slēguma inventarizācijā salīdzina Valsts kasē atvērto kontu atlikumus, ievērojot kārtību, kāda noteikta uz Likuma par budžetu un finanšu vadību pamata pieņemtajos normatīvajos aktos par kārtību, kādā Valsts kase nodrošina maksājumu pakalpojumu sniegšanu."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25-TA-682</w:t>
    </w:r>
    <w:r>
      <w:br/>
    </w:r>
    <w:r w:rsidR="00000000" w:rsidRPr="00000000" w:rsidDel="00000000">
      <w:rPr>
        <w:rtl w:val="0"/>
      </w:rPr>
      <w:t xml:space="preserve">Izdrukāts 29.07.2026. 23.57 - 1.0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25-TA-682</w:t>
    </w:r>
    <w:r>
      <w:br/>
    </w:r>
    <w:r w:rsidR="00000000" w:rsidRPr="00000000" w:rsidDel="00000000">
      <w:rPr>
        <w:rtl w:val="0"/>
      </w:rPr>
      <w:t xml:space="preserve">Izdrukāts 29.07.2026. 23.57 - 1.0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noteikumu_(grozījumu)_projekts_25-TA-682.docx</dc:title>
</cp:coreProperties>
</file>

<file path=docProps/custom.xml><?xml version="1.0" encoding="utf-8"?>
<Properties xmlns="http://schemas.openxmlformats.org/officeDocument/2006/custom-properties" xmlns:vt="http://schemas.openxmlformats.org/officeDocument/2006/docPropsVTypes"/>
</file>