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Ēku energoefektivitātes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2012, 201. nr.; 2016, 57. nr.; 2017, 124. nr.; 2018, 225. nr.; 2020, 202A.)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1.pantu ar 8.-24.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Ēkām, kuras ir kultūras pieminekļi vai kurās atrodas kultūras pieminekļi, kā arī kultūras pieminekļu teritorijās esošām ēkām un ēkām, kurām pašvaldība noteikusi kultūrvēsturisko vērtību, var piemērot zemākas prasības attiecībā uz energoefektivitātes līmeni, ja izmaksoptimāla līmeņa sasniegšana apdraud šo kultūras pieminekļu vai ēku ar kultūrvēsturisko vērtību saglabāšanu vai pazemina to kultūrvēsturisko vērtību.".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7.panta pirmās daļas 1. punktu pēc vārda "ēkai" ar vārdiem "vai ēkas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Ēkas energosertifikātā norāda ēkas ekspluatācijas siltumnīcefekta gāzu emisijas, kas saistītas ar ēkas energoefektivitātes pakalpojumu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Jaunām ēkām ēkas energosertifikātā norāda ēkas dzīves cikla globālās sasilšanas potenciālu, kas aprēķināts, pamatojoties uz visa dzīves cikla siltumnīcefekta gāzu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)Ēkas energosertifikātam var pievienot atjaunošanas pasi. Ja energosertifikātam pievieno atjaunošanas pasi, tā aizstāj šā panta sestajā daļā minēto pārskatu par ekonomiski pamatotiem energoefektivitāti uzlabojošiem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ekspluatācijas siltumnīcefekta gāzu emisiju un dzīves cikla globālās sasilšanas potenciāla aprēķināšanas kārtību, atjaunošanas pases saturu un prasības bezemisiju ēkām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energosertifikāciju, atjaunošanas pasu izveidi, viedgatavības novērtējumu un šā likuma 11. pantā minēto apkures sistēmu, ventilācijas sistēmu un gaisa kondicionēšanas sistēmu inspicēšanu veic sertificēti neatkarīgi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)Lai pretendētu uz neatkarīgā eksperta sertifikāta saņemšanu, persona Būvniecības informācijas sistēmas tīmekļvietnē (www.bis.gov.lv) aizpilda tiešsaistes iesnieguma veidlapu sertifikāta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)Neatkarīgā eksperta sertifikātu  piešķir bez termiņa ierobežojuma. Ministru kabineta noteikumos noteiktajos gadījumos neatkarīgā eksperta kompetences novērtēšana veicama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)Neatkarīgie eksperti regulāri paaugstina savu profesionālo kvalifikāciju.".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13.panta pirmās daļas 3. punktā vārdus "ja publiskai ēkai veikta energosertifikācija" ar vārdiem "nedzīvojamai ēkai, kurai veikta energosertifikācija".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kabinets līdz 2028. gada 1. janvārim izdod šā likuma 8. panta 8</w:t>
      </w:r>
      <w:r w:rsidR="00000000" w:rsidRPr="00000000" w:rsidDel="00000000">
        <w:rPr>
          <w:vertAlign w:val="superscript"/>
          <w:rtl w:val="0"/>
        </w:rPr>
        <w:t xml:space="preserve">1</w:t>
      </w:r>
      <w:r w:rsidR="00000000" w:rsidRPr="00000000" w:rsidDel="00000000">
        <w:rPr>
          <w:rtl w:val="0"/>
        </w:rPr>
        <w:t xml:space="preserve"> daļā minētos noteikumus attiecībā uz ēku dzīves cikla globālās sasilšanas potenciāla aprēķināšanas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informatīvo atsauci uz Eiropas Savienības direktīvām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2024. gada 24. aprīļa direktīvu (ES) Nr. 2024/1275 par ēku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2023. gada 13. septembra direktīvu (ES) Nr. 2023/1791 par energoefektivitāti.".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30.maijā.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25-TA-2969</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25-TA-2969</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likumprojekts_(grozījumi)_25-TA-2969.docx</dc:title>
</cp:coreProperties>
</file>

<file path=docProps/custom.xml><?xml version="1.0" encoding="utf-8"?>
<Properties xmlns="http://schemas.openxmlformats.org/officeDocument/2006/custom-properties" xmlns:vt="http://schemas.openxmlformats.org/officeDocument/2006/docPropsVTypes"/>
</file>