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februārī (prot. Nr. 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Tieslietu ministrijai uzņemties valsts budžeta ilgtermiņa saistības, lai veiktu iemaksas par Latvijas dalību Vienotajā patentu tiesā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izpildītu Latvijas saistības, kuras Latvija uzņēmusies, noslēdzot starptautisko nolīgumu par Vienotās patentu tiesas izveidi, saskaņā ar kuru ir izveidota Vienotās patentu tiesas Ziemeļvalstu–Baltijas valstu reģionālā nodaļa un Tieslietu ministrija noteikta par atbildīgo saistību izpildes koordinēšanā, atļaut Tieslietu ministrijai uzņemties ilgtermiņa saistības no 2024. gada līdz 2029. gadam iemaksu veikšanai Vienotās patentu tiesas 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no 2024. gada līdz 2029. gadam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iemaksas nodrošināt no valsts budžeta programmā 97.00.00. "Nozaru vadība un politikas plānošana"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23-TA-3021</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23-TA-3021</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rīkojuma_projekts_23-TA-3021.docx</dc:title>
</cp:coreProperties>
</file>

<file path=docProps/custom.xml><?xml version="1.0" encoding="utf-8"?>
<Properties xmlns="http://schemas.openxmlformats.org/officeDocument/2006/custom-properties" xmlns:vt="http://schemas.openxmlformats.org/officeDocument/2006/docPropsVTypes"/>
</file>