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projektu iesniegumu atlases pirmo kārtu (turpmāk – atlases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pirmās kārtas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pirmās kārtas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vēsturisko kūdras ieguves vietu sanāciju, iegūstot un analizējot datus par vēsturiskajām kūdras ieguves vietām Taisnīgas pārkārtošanās fonda mērķteritorijās, to stāvokli un iespējamajiem rekultivācijas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un apkopot informāciju par kūdras izmantošanu enerģētikā pašvaldību organizētajos siltumapgādes pakalpojumos un iespējamos risinājumus cita atjaunīgā enerģijas resursa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potenciālos projektu iesniegumu iesniedzējus, pašvaldības un privātpersonas ar kvalitatīvu informāciju projektu dokumentācijas sagatavošanai Taisnīgas pārkārtošanās fonda investīciju piesaistei.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mērķteritorijas un īstenošanas vietas ir vēsturiskās kūdras ieguves vietas un pašvaldības, kas atrodas Kurzemes, Latgales, Vidzemes un Zemgales statistiskajos reģionos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par vēsturiskajām kūdras ieguves vietām tiek uzskatītas teritorijas, kas noteiktas Kūdras ilgtspējīgas izmantošanas pamatnostādņu 2020.–2030. gadam 3. pielikumā, un šīm teritorijām piegulošas ietekmētās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plānošanas reģioni, pašvaldības, valsts institūcijas, zinātniskas institūcijas un vēsturisko kūdras ieguves vietu īpašnieki vai apsaimniekotāji (pašvaldības un privātpersonas), kā arī pašvaldības, pašvaldību kapitālsabiedrības vai sabiedrisko pakalpojumu sniedzēji, kuriem ir noslēgts līgums ar pašvaldībām par siltumenerģijas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pirmo kārtu īsteno līdz 2026. gada 31. decembrim, sasniedzot  nacionālo rādītāju – pašvaldību un privātpersonu īpašumā esošo vēsturisko kūdras ieguves vietu izpēte un inventarizācija veikta teritorijās, kuru kopējā platība sasniedz vismaz 9000 ha. Privātpersona šo noteikumu izpratnē atbilst zemes īpašnieka apzīmējumam "fiziska/juridiska persona", kas tiek izmantots Kūdras ilgtspējīgas izmantošanas pamatnostādņu 2020.–2030. gadam 3. pielikumā "Vēsturiskās kūdras ieguves vietas".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pirmās kārtas īstenošanai plānotais un pieejamais kopējais attiecināmais finansējums ir vismaz 2 245 478 </w:t>
      </w:r>
      <w:r w:rsidR="00000000" w:rsidRPr="00000000" w:rsidDel="00000000">
        <w:rPr>
          <w:i w:val="1"/>
          <w:rtl w:val="0"/>
        </w:rPr>
        <w:t xml:space="preserve">euro,</w:t>
      </w:r>
      <w:r w:rsidR="00000000" w:rsidRPr="00000000" w:rsidDel="00000000">
        <w:rPr>
          <w:rtl w:val="0"/>
        </w:rPr>
        <w:t xml:space="preserve"> tai skaitā Taisnīgas pārkārtošanās fonda finansējums – 1 908 656</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336 822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Maksimālā Taisnīgas pārkārtošanās fonda finansējuma intensitāte ir 85 % no projektam plānotā kopējā attiecināmā finansējuma, un valsts budžeta līdzfinansējums ir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kas pēc projekta iesnieguma apstiprināšanas kļūst par finansējuma saņēmēju, ir atvasināta publiska persona – Vidzemes plānošanas reģions.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atbalstāmo darbību īstenošanai sadarbības partnera statusā piesaista atvasinātas publiskās personas – Latgales plānošanas reģionu, Kurzemes plānošanas reģionu un Zemgales plānošanas reģionu.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sadarbības partneriem plāno projektā sasniedzamo nacionālo rādītāju un Taisnīgas pārkārtošanās fonda finansējumu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rādītājam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pieejamam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pirms projekta iesnieguma iesniegšanas ar sadarbības partneriem slēdz rakstveida sadarbības līgumu par pušu pienākumiem un tiesībām, kā arī par pušu atbildību projekta mērķa, rezultātu un rādītāju sasniegšanā un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prasību nodrošināšanā.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un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atbildīgi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pirmajā kārtā netiek atbalstītas projekta iesniedzēja un sadarbības partneru aktivitātes, kas ir kvalificējamas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partneriem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vides un informācijas piekļūstamības veicināšanai;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projekta īstenošanai, tai skaitā informēšanas, izglītošanas un sadarbības veicināšanas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apmācības;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izglītošanas, komunikācijas un vizuālās identitātes pasākumi, tai skaitā informatīvo un izglītojošo materiālu sagatavošana par vēsturisko kūdras ieguves vietu rekultivāciju;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braucieni, kas saistīti ar vēsturisko kūdras purvu rekultivāciju, to organizēšana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derīgo izrakteņu ieguves vietu rekultivāciju saistīto telpiskās plānošanas institūciju, pašvaldību darbinieku un zinātnisko institūciju, kā arī ar kūdras ieguves vietu rekultivāciju saistīto biedrību informēšanas, sadarbības veicināšanas un izglītošanas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pasākumi par atteikšanos no kūdras sadedzināšanas iekārtu izmantošanas enerģētikā;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pašvaldību un siltumapgādes sabiedrisko pakalpojumu sniedzēju konsultēšana par pasākuma otrās projektu iesniegumu atlases kārtas projektu dokumentācijas (dokumentācija par esošās kūdras sadedzināšanas iekārtas radītajām siltumnīcefekta gāzu emisijām, dokumentācija ar aprēķiniem par alternatīvās sadedzināšanas iekārtas radītajām siltumnīcefekta gāzu emisijām un sociālekonomiskie kritēriji)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inventarizācijas veikšana saistībā ar kūdras izmantošanu enerģētikā, apzinot kūdras siltumenerģijas ieguves iekārtas pašvaldībās, tai skaitā pašvaldību organizētajos siltumapgādes pakalpojumos, un to pielāgošanas izmaksu noteikšana citu atjaunīgo energoresursu izmantošanai vai iekārtu nomaiņai;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vēsturisko kūdras ieguves vietu inventarizācija, iegūto datu analīze un apkopošana, iesaistot atbilstošas kvalifikācijas speciālistus un veicot šādus uzdevumus: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un izpētīt informāciju par pašvaldību un privātpersonu īpašumā esošajām vēsturiskajām kūdras ieguves vietām, tai skaitā apzināt kamerāli vēsturiskās kūdras ieguves vietas un apsekot tās dabā, apkopot un izvērtēt datus par ekosistēmu stāvokli, piesaistot atbilstošu ekspertīzi;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pašvaldību un privātpersonu īpašumā esošo vēsturisko kūdras ieguves vietu rekultivācijas stratēģijas un noteikt piemērotākās metodes, nodrošinot kompetentu un kvalitatīvu ekspertīzi mērķa sasniegšanai teritorijām, kurās tiks īstenoti rekultivācijas darbi pasākuma nākamajās projektu iesniegumu atlases kārtās;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vēsturisko kūdras ieguves vietu īpašniekus, valdītājus un turētājus par rekultivācijas iespējām un izstrādāt rekultivācijas stratēģijas ieinteresētajiem īpašniekiem un zemes apsaimniekotājiem, piesaistot atbilstošu ekspertīzi, kā arī izstrādāt projektu dokumentāciju nākamajām pasākuma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vadlīniju un nodevumu sagatavošana vēsturisko kūdras ieguves vietu rekultivācijas veicināšanai, kūdras siltumenerģijas ražošanas iekārtu nomaiņai un projektu iesniegumu pamatojošās dokumentācijas sagatavošanai.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pirmās kārtas ietvaros projektam plāno tiešās un 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ir tieši saistītas ar projekta īstenošanu un nepieciešamas projekta rezultātu sasniegšanai,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projekta vadības un īstenošanas personāla izmaksas (izņemot projekta iesnieguma veidlapas aizpildīšanas izmaksas), kas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un pakalpojumu līgumu izmaksas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w:t>
      </w:r>
      <w:r w:rsidR="00000000" w:rsidRPr="00000000" w:rsidDel="00000000">
        <w:rPr>
          <w:rtl w:val="0"/>
        </w:rPr>
        <w:t xml:space="preserve">ā minētajām atbalstāmajām darbībām (ja attiecināms), tai skaitā izmaksas vēsturiskajās kūdras ieguves vietās veikto pētījumu rezultātā iegūto datu iegādei, ja tie nav brīvi pieejami vai nav pieejami izmantošanai pēc pieprasījuma reģionu attīstības plānošanā, izņemot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noteiktās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konsultāciju un izvērtējumu izmaksas projekta sekmīgai realizācijai un mērķa sasniegšanai, kas nav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mācību, semināru, pieredzes apmaiņas un citu kapacitāti uzlabojošu pasākumu organizēšanu un īstenošanu saistītās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pakalpojumi (ieskaitot honorārus, viesnīcas un ceļa izdevumus);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un sadarbības partnera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materiālu izveide par Taisnīgas pārkārtošanās fonda darbībām reģionos, par vēsturiskajām kūdras ieguves vietām un to rekultivācijas iespējām, piemēram, informācijas izvietošana tīmekļvietnē, plakātu un izdales materiālu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komandējumu izmaksas finansējuma saņēmēja un sadarbības partneru projekta vadītājiem un īstenošanas personālam atbilstoši normatīvajiem aktiem par kārtību, kādā atlīdzināmi ar komandējumu saistītie izdevumi, ja tās ir pamatotas un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partneru personāla darba braucienu un iekšzemes komandējumu izmaksas (viesnīcas izmaksas, dienas nauda), kuras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vietas aprīkojuma iegādes izmaksas jaunu darba vietu radīšanai vai, ja esošo darba vietu aprīkojums ir nolietojies un tiek norakstīts,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jaunradītas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daļlaika izmaksu attiecināšanas principa gadījumā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pasākumi,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izmaksas, ja konsultācijas ir nepieciešamas vides un informācijas piekļūstamības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netiešās attiecināmās izmaksas atbalstāmo darbību īstenošanai plāno kā vienu izmaksu pozīciju, piemērojot netiešo izmaksu vienoto likmi septiņu procentu apmērā no šo noteikumu </w:t>
      </w:r>
      <w:r w:rsidR="00000000" w:rsidRPr="00000000" w:rsidDel="00000000">
        <w:rPr>
          <w:rtl w:val="0"/>
        </w:rPr>
        <w:t xml:space="preserve">23.</w:t>
      </w:r>
      <w:r w:rsidR="00000000" w:rsidRPr="00000000" w:rsidDel="00000000">
        <w:rPr>
          <w:rtl w:val="0"/>
        </w:rPr>
        <w:t xml:space="preserve">punktā</w:t>
      </w:r>
      <w:r w:rsidR="00000000" w:rsidRPr="00000000" w:rsidDel="00000000">
        <w:rPr>
          <w:rtl w:val="0"/>
        </w:rPr>
        <w:t xml:space="preserve"> minētajām tiešajām attiecināmajām izmaksām. Sadarbības partneriem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Neparedzēto izdevumu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izmaksas ir attiecināmas no 2024. gada 1. janvāra. Projekta iesniegumā neiekļauj un finansējumu nepiešķir pabeigtām darbībām.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2026.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dubultā finansējuma iestāšanos, tostarp nodrošina,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nosacījumus, kā pārliecināties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neesību, lai tiktu ievērotas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darbību īstenošanai piesaista kompetentus ekspertus vēsturisko kūdras ieguves vietu stāvokļa novērtēšanai un rekultivācijas stratēģiju izstrādei, ņemot vērā piemērotākās metodes siltumnīcefekta gāzu emisiju samazināšanai, vides kvalitātes uzlabošanai un sociālekonomisko ieguvumu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rādītāja uzskaiti projekta īstenošanas laikā un faktiski sasniegtās vērtības datu ievadi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2025. gada 16. jūnijam izstrādā un atbildīgajai iestādei iesniedz šādus metodiskos materiālus: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vadlīnijas pašvaldībām par procedūru vēsturisko kūdras ieguves vietu atzīšanai par rekultivētām;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vadlīnijas par horizontālā principa "nenodarīt būtisku kaitējumu" klimata un vides mērķu novērtējumu pasākumā īstenojamām darbībām vēsturiskajās kūdras ieguves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vadlīnijas par sociālekonomisko novērtējumu katram no vēsturisko kūdras ieguves vietu rekultivācijas veidiem;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vadlīnijas par ekosistēmu pakalpojumu novērtējumu katram no vēsturisko kūdras ieguves vietu rekultivācijas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 un iesniedz atbildīgajai iestādei šādus nodevumus: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decembrim – nodevumu par pašvaldībām un to uzņēmumu īpašumā esošo kūdras sadedzināšanas iekārtu inventarizācijas rezultātiem un to sociālekonomisko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11. novembrim – nodevumu par pašvaldību īpašumā esošo vēsturisko kūdras ieguves vietu inventarizācijas rezultātiem, iekļaujot šo noteikumu </w:t>
      </w:r>
      <w:r w:rsidR="00000000" w:rsidRPr="00000000" w:rsidDel="00000000">
        <w:rPr>
          <w:rtl w:val="0"/>
        </w:rPr>
        <w:t xml:space="preserve">20.5.</w:t>
      </w:r>
      <w:r w:rsidR="00000000" w:rsidRPr="00000000" w:rsidDel="00000000">
        <w:rPr>
          <w:rtl w:val="0"/>
        </w:rPr>
        <w:t xml:space="preserve">1. 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1. aprīlim – nodevumu par privātpersonu īpašumā esošo vēsturisko kūdras ieguves vietu inventarizācijas rezultātiem, iekļaujot šo noteikumu </w:t>
      </w:r>
      <w:r w:rsidR="00000000" w:rsidRPr="00000000" w:rsidDel="00000000">
        <w:rPr>
          <w:rtl w:val="0"/>
        </w:rPr>
        <w:t xml:space="preserve">20.5.</w:t>
      </w:r>
      <w:r w:rsidR="00000000" w:rsidRPr="00000000" w:rsidDel="00000000">
        <w:rPr>
          <w:rtl w:val="0"/>
        </w:rPr>
        <w:t xml:space="preserve">1. apakšpunktā</w:t>
      </w:r>
      <w:r w:rsidR="00000000" w:rsidRPr="00000000" w:rsidDel="00000000">
        <w:rPr>
          <w:rtl w:val="0"/>
        </w:rPr>
        <w:t xml:space="preserve"> noteikto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30. decembrim – gala nodevumu, kurā iekļauta analīze par visām vēsturiskajām kūdras ieguves vietām pašvaldību un privātpersonu īpašumā, iekļaujot šo noteikumu </w:t>
      </w:r>
      <w:r w:rsidR="00000000" w:rsidRPr="00000000" w:rsidDel="00000000">
        <w:rPr>
          <w:rtl w:val="0"/>
        </w:rPr>
        <w:t xml:space="preserve">20.5.1.</w:t>
      </w:r>
      <w:r w:rsidR="00000000" w:rsidRPr="00000000" w:rsidDel="00000000">
        <w:rPr>
          <w:rtl w:val="0"/>
        </w:rPr>
        <w:t xml:space="preserve"> un </w:t>
      </w:r>
      <w:r w:rsidR="00000000" w:rsidRPr="00000000" w:rsidDel="00000000">
        <w:rPr>
          <w:rtl w:val="0"/>
        </w:rPr>
        <w:t xml:space="preserve">20.5.2.</w:t>
      </w:r>
      <w:r w:rsidR="00000000" w:rsidRPr="00000000" w:rsidDel="00000000">
        <w:rPr>
          <w:rtl w:val="0"/>
        </w:rPr>
        <w:t xml:space="preserve"> apakšpunktā noteikto informāciju un norādot kopējo analizēto teritoriju platību hektāros;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precizē šo noteikumu </w:t>
      </w:r>
      <w:r w:rsidR="00000000" w:rsidRPr="00000000" w:rsidDel="00000000">
        <w:rPr>
          <w:rtl w:val="0"/>
        </w:rPr>
        <w:t xml:space="preserve">31.8. </w:t>
      </w:r>
      <w:r w:rsidR="00000000" w:rsidRPr="00000000" w:rsidDel="00000000">
        <w:rPr>
          <w:rtl w:val="0"/>
        </w:rPr>
        <w:t xml:space="preserve">apakšpunktā</w:t>
      </w:r>
      <w:r w:rsidR="00000000" w:rsidRPr="00000000" w:rsidDel="00000000">
        <w:rPr>
          <w:rtl w:val="0"/>
        </w:rPr>
        <w:t xml:space="preserve">  minētos metodiskos materiālus, iepriekš vienojoties ar atbildīgo iestādi par izpildes termiņu, ja, sagatavojot šo noteikumu </w:t>
      </w:r>
      <w:r w:rsidR="00000000" w:rsidRPr="00000000" w:rsidDel="00000000">
        <w:rPr>
          <w:rtl w:val="0"/>
        </w:rPr>
        <w:t xml:space="preserve">31.9.1.</w:t>
      </w:r>
      <w:r w:rsidR="00000000" w:rsidRPr="00000000" w:rsidDel="00000000">
        <w:rPr>
          <w:rtl w:val="0"/>
        </w:rPr>
        <w:t xml:space="preserve">, </w:t>
      </w:r>
      <w:r w:rsidR="00000000" w:rsidRPr="00000000" w:rsidDel="00000000">
        <w:rPr>
          <w:rtl w:val="0"/>
        </w:rPr>
        <w:t xml:space="preserve">31.9.2.</w:t>
      </w:r>
      <w:r w:rsidR="00000000" w:rsidRPr="00000000" w:rsidDel="00000000">
        <w:rPr>
          <w:rtl w:val="0"/>
        </w:rPr>
        <w:t xml:space="preserve"> un </w:t>
      </w:r>
      <w:r w:rsidR="00000000" w:rsidRPr="00000000" w:rsidDel="00000000">
        <w:rPr>
          <w:rtl w:val="0"/>
        </w:rPr>
        <w:t xml:space="preserve">31.9.3.</w:t>
      </w:r>
      <w:r w:rsidR="00000000" w:rsidRPr="00000000" w:rsidDel="00000000">
        <w:rPr>
          <w:rtl w:val="0"/>
        </w:rPr>
        <w:t xml:space="preserve"> apakšpunktā minētos nodevumus, tiek iegūta tāda informācija, kuras dēļ šos metodiskos materiālus nepieciešams precizēt, un iesniedz tos atbildīgajai iestādei ne vēlāk kā līdz 2026. gada 31.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rādītāja – mediju kampaņu, semināru, konferenču un komunikācijas pasākumu skaits, kuros sabiedrības informēšana cilvēkiem ar dažādu veidu funkcionāliem traucējumiem tika nodrošināta piekļūstamos veidos (piemēram, tulkošana zīmju valodā, subtitrēšana, reāllaika transkripcija, raidījumu un pasākumu ieraksti), – sasniegto vērtību datu uzkrāšanu, ievadi Kohēzijas politikas fondu vadības informācijas sistēmā un ziņošanu.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Atbildīgā iestāde izskata un izvērtē finansējuma saņēmēja un sadarbības partnera iesniegtos metodiskos materiālus un nodevumus viena mēneša laikā no to saņemšanas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25-TA-477</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25-TA-477</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noteikumu_konsolidētā_versija_25-TA-477.docx</dc:title>
</cp:coreProperties>
</file>

<file path=docProps/custom.xml><?xml version="1.0" encoding="utf-8"?>
<Properties xmlns="http://schemas.openxmlformats.org/officeDocument/2006/custom-properties" xmlns:vt="http://schemas.openxmlformats.org/officeDocument/2006/docPropsVTypes"/>
</file>