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janvārī (prot. Nr. 1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2.3.1. specifiskā atbalsta mērķa "Veicināt ilgtspējīgu daudzveidu mobilitāti pilsētās" 2.3.1.4. pasākuma "Bezemisiju vilcieni"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mobilitāte" 2.3.1. specifiskā atbalsta mērķa "Veicināt ilgtspējīgu daudzveidu mobilitāti pilsētās" 2.3.1.4. pasākumu "Bezemisiju vilcieni"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attīstīt bezemisiju dzelzceļa infrastruktūru, veidojot konkurētspējīgu dzelzceļa pasažieru transportu kopējā Rīgas valstspilsētas un Pierīgas reģiona sabiedriskā transporta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transporta infrastruktūras un sabiedriskā transporta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Pasākumam plānotais un pieejamais kopējais finansējums ir 21 287 963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18 094 768 </w:t>
      </w:r>
      <w:r w:rsidR="00000000" w:rsidRPr="00000000" w:rsidDel="00000000">
        <w:rPr>
          <w:i w:val="1"/>
          <w:rtl w:val="0"/>
        </w:rPr>
        <w:t xml:space="preserve">euro </w:t>
      </w:r>
      <w:r w:rsidR="00000000" w:rsidRPr="00000000" w:rsidDel="00000000">
        <w:rPr>
          <w:rtl w:val="0"/>
        </w:rPr>
        <w:t xml:space="preserve">un nacionālais finansējums – 3 193 195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Maksimālais attiecināmais Eiropas Reģionālās attīstības fonda finansējuma apmērs ir 85 % no projektam plānotā kopējā attiecināmā finansējuma. Nacionālais līdzfinansējums nav mazāks par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31. decembrim ir sasniedzams šāds iznākuma rādītājs – sabiedriskajā transportā izmantojamā videi draudzīgā ritošā sastāva pasažieru ietilpība ir vismaz 360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Iznākuma rādītājs ir sasniegts, kad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minētais ritošais sastāvs ir nodots ekspluatācijā.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Eiropas Reģionālās attīstības fonda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Satiksmes ministrija. Tās vārdā atbilstoši </w:t>
      </w:r>
      <w:r w:rsidR="00000000" w:rsidRPr="00000000" w:rsidDel="00000000">
        <w:rPr>
          <w:rtl w:val="0"/>
        </w:rPr>
        <w:t xml:space="preserve">Ministru kabineta 2003. gada 29. aprīļa noteikumu Nr. 242 "Satiksmes ministrijas nolikums"</w:t>
      </w:r>
      <w:r w:rsidR="00000000" w:rsidRPr="00000000" w:rsidDel="00000000">
        <w:rPr>
          <w:rtl w:val="0"/>
        </w:rPr>
        <w:t xml:space="preserve"> </w:t>
      </w:r>
      <w:r w:rsidR="00000000" w:rsidRPr="00000000" w:rsidDel="00000000">
        <w:rPr>
          <w:rtl w:val="0"/>
        </w:rPr>
        <w:t xml:space="preserve">5.28. apakšpunktam</w:t>
      </w:r>
      <w:r w:rsidR="00000000" w:rsidRPr="00000000" w:rsidDel="00000000">
        <w:rPr>
          <w:rtl w:val="0"/>
        </w:rPr>
        <w:t xml:space="preserve"> un Satiksmes ministrijas deleģēšanas līgumam projektu īsteno valsts sabiedrība ar ierobežotu atbildību "Autotransporta direkcija", kas veic Satiksmes ministrijas kā projekta iesniedzējas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projekta apstiprināšanas ir finansējuma saņēmējs (turpmāk – finansējuma saņēmējs), sagatavo projekta iesniegumu atbilstoši projektu iesniegumu atlases nolikumam. Projekta iesniegumu iesniedz Kohēzijas politikas fondu vadības informācijas sistēmā, pievienojot projektam veikto izmaksu un ieguvumu analīzi.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atbalstāmās darbības ir vērstas uz bezemisiju dzelzceļa infrastruktūras attīstību, tas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divu jaunu pilsētas un piepilsētas elektrovilcienu (bateriju elektrovilcienu) ritošā sastāva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pilsētas un piepilsētas elektrovilcienu (bateriju elektrovilcienu) rezerves daļu iegāde piecu gadu periodam, kā arī minimālā nepieciešamā specifisko rokas instrumentu un programmatūras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inženieru pakalpojuma iegāde, lai nodrošinātu atbalstu pilsētas un piepilsētas elektrovilcienu (bateriju elektrovilcienu) ritošā sastāva iegādes procesā.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tostarp piemaksas un nodokļi,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 </w:t>
      </w:r>
      <w:r w:rsidR="00000000" w:rsidRPr="00000000" w:rsidDel="00000000">
        <w:rPr>
          <w:rtl w:val="0"/>
        </w:rPr>
        <w:t xml:space="preserve">kalendāra gadā, ja projekta attiecināmās izmaksas ir virs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 noslodze, nodrošinot personāla iesaisti projektā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sagatavošanas izmaksas, tajā skaitā izmaksu un ieguvumu analīzes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pilsētas un piepilsētas elektrovilcienu (bateriju elektrovilcienu) ritošā sastāva iegādes un piegādes izmaksas dzelzceļa pasažieru apkalpošanai;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komunikācijas un vizuālās identitātes pasākumu izmaksas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un informācijas piekļūstamības nodrošināšanas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pilsētas un piepilsētas elektrovilcienu (bateriju elektrovilcienu) rezerves daļu iegādes izmaksas piecu gadu periodam un minimālā nepieciešamā specifisko rokas instrumentu un programmatūras (kas nav brīvi pieejama tirgū) iegādes izmaksas vienību uzturēšanai un diagnostikas nodrošināšanai. Projekta ietvaros tiks nodrošināts, ka programmatūras iegāde paredzēs ilgtspējīgu ieguldījumu – pirmkodu un intelektuālā īpašuma tiesību iegādi, kas nonāks finansējuma saņēmēja rīcībā;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inženieru pakalpojuma izmaksas pilsētas un piepilsētas elektrovilcienu (bateriju elektrovilcienu) iegādes procesā.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16.8. </w:t>
      </w:r>
      <w:r w:rsidR="00000000" w:rsidRPr="00000000" w:rsidDel="00000000">
        <w:rPr>
          <w:rtl w:val="0"/>
        </w:rPr>
        <w:t xml:space="preserve">apakšpunktā</w:t>
      </w:r>
      <w:r w:rsidR="00000000" w:rsidRPr="00000000" w:rsidDel="00000000">
        <w:rPr>
          <w:rtl w:val="0"/>
        </w:rPr>
        <w:t xml:space="preserve">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 apmērā no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minētajām tiešajām attiecināmajām personāla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izmaksas ir attiecināmas no 2024. gada 1. janvāra. Projektā nedrīkst iekļaut darbības, kas pabeigtas līdz projekta iesnieguma iesniegšanas dienai.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objektu skaitu, kuros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plānotās attiecināmās izmaksas netiek finansētas vai līdzfinansētas, kā arī tās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projekta īstenošanā radīto vērtību uzturēšanu, laikus plānojot uzturēšanas un periodiskus nodilušo konstrukciju atjaunošanas darbus un finansējumu šiem darbiem turpmākos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w:t>
      </w:r>
      <w:r w:rsidR="00000000" w:rsidRPr="00000000" w:rsidDel="00000000">
        <w:rPr>
          <w:rtl w:val="0"/>
        </w:rPr>
        <w:t xml:space="preserve">i, 47. un 50. pantu</w:t>
      </w:r>
      <w:r w:rsidR="00000000" w:rsidRPr="00000000" w:rsidDel="00000000">
        <w:rPr>
          <w:rtl w:val="0"/>
        </w:rPr>
        <w:t xml:space="preserve">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 projekta dokumentāciju un nodrošina tās pieejamību visā projekta īstenošanas laikā un uzraudzības periodā, kas nepārsniedz piecus gadus pēc pēdējā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un sociāli atbildīgs iepirkums;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 saskaņā ar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pantu un publiskos iepirkumus regulējošo normatīvo aktu prasībām, kā arī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projekta pabeigšanas iegādātos aktīvus (visu projekta apjomu) nodod pasažieru pārvadājumu pakalpojuma sniedzējam, kurš izvēlēts atbilstoši </w:t>
      </w:r>
      <w:r w:rsidR="00000000" w:rsidRPr="00000000" w:rsidDel="00000000">
        <w:rPr>
          <w:rtl w:val="0"/>
        </w:rPr>
        <w:t xml:space="preserve">Eiropas Parlamenta un Padomes 2007. gada 23. oktobra Regulai (EK) Nr. 1370/2007 par sabiedriskā pasažieru transporta pakalpojumiem, izmantojot dzelzceļu un autoceļus, un ar ko atceļ Padomes regulu (EEK) Nr. 1191/69 un Padomes regulu (EEK) Nr. 1107/70 </w:t>
      </w:r>
      <w:r w:rsidR="00000000" w:rsidRPr="00000000" w:rsidDel="00000000">
        <w:rPr>
          <w:rtl w:val="0"/>
        </w:rPr>
        <w:t xml:space="preserve">, kā arī ievērojot piemērojamā komercdarbības atbalsta regulējuma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23-TA-1501</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23-TA-1501</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noteikumu_projekts_23-TA-1501.docx</dc:title>
</cp:coreProperties>
</file>

<file path=docProps/custom.xml><?xml version="1.0" encoding="utf-8"?>
<Properties xmlns="http://schemas.openxmlformats.org/officeDocument/2006/custom-properties" xmlns:vt="http://schemas.openxmlformats.org/officeDocument/2006/docPropsVTypes"/>
</file>