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2.,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ir Latvijas Republikas komercreģistrā reģistrēti komersanti, kas atbilst sīkā (mikro), mazā vai vidējā saimnieciskās darbības subjekta statusam saskaņā ar Eiropas Komisijas 2014. gada 17. jūnija Regulas (ES) Nr. 651/2014, ar ko noteiktas atbalsta kategorijas atzīst par saderīgām ar iekšējo tirgu, piemērojot Līguma 107. un 108. pantu (turpmāk – regula Nr. 651/2014), 2. panta 2. punktu un pašnodarbināta persona,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 ir Latvijas Republikas komercreģistrā reģistrēti komersanti, kas atbilst sīkā (mikro), mazā vai vidējā komersanta statusam saskaņā ar regulas Nr.  651/2014 2. panta 2. punktu un fiziskas personas (biznesa ideju autori), kuri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ir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651/2014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2023/2831 par Līguma par Eiropas Savienības darbību 107. un 108. panta piemērošanu de minimis atbalstam (turpmāk – Komisijas regula Nr. 2023/2831)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vismaz vidēji zemo tehnoloģiju nozares vai pārtikas un/vai dzērienu rūpniecības vai zināšanu ietilpīgu pakalpojumu komersants ar eksportspējīgu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 vai zināšanu ietilpīgu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pasākumus inovācijas motivācijas aktivitātēm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pasākumus biznesa inkubācijas aktivitātēm (finanšu un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pasākumus eksporta veicināšanas aktivitātēm (finanšu un nefinanšu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73 379 551 </w:t>
      </w:r>
      <w:r w:rsidR="00000000" w:rsidRPr="00000000" w:rsidDel="00000000">
        <w:rPr>
          <w:i w:val="1"/>
          <w:rtl w:val="0"/>
        </w:rPr>
        <w:t xml:space="preserve">euro</w:t>
      </w:r>
      <w:r w:rsidR="00000000" w:rsidRPr="00000000" w:rsidDel="00000000">
        <w:rPr>
          <w:rtl w:val="0"/>
        </w:rPr>
        <w:t xml:space="preserve"> (elastības finansējums – 11 573 812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62 372 618 </w:t>
      </w:r>
      <w:r w:rsidR="00000000" w:rsidRPr="00000000" w:rsidDel="00000000">
        <w:rPr>
          <w:i w:val="1"/>
          <w:rtl w:val="0"/>
        </w:rPr>
        <w:t xml:space="preserve">euro </w:t>
      </w:r>
      <w:r w:rsidR="00000000" w:rsidRPr="00000000" w:rsidDel="00000000">
        <w:rPr>
          <w:rtl w:val="0"/>
        </w:rPr>
        <w:t xml:space="preserve">(elastības finansējums – 9 837 741 </w:t>
      </w:r>
      <w:r w:rsidR="00000000" w:rsidRPr="00000000" w:rsidDel="00000000">
        <w:rPr>
          <w:i w:val="1"/>
          <w:rtl w:val="0"/>
        </w:rPr>
        <w:t xml:space="preserve">euro</w:t>
      </w:r>
      <w:r w:rsidR="00000000" w:rsidRPr="00000000" w:rsidDel="00000000">
        <w:rPr>
          <w:rtl w:val="0"/>
        </w:rPr>
        <w:t xml:space="preserve">) un valsts budžeta finansējums – 11 006 933 </w:t>
      </w:r>
      <w:r w:rsidR="00000000" w:rsidRPr="00000000" w:rsidDel="00000000">
        <w:rPr>
          <w:i w:val="1"/>
          <w:rtl w:val="0"/>
        </w:rPr>
        <w:t xml:space="preserve"> euro</w:t>
      </w:r>
      <w:r w:rsidR="00000000" w:rsidRPr="00000000" w:rsidDel="00000000">
        <w:rPr>
          <w:rtl w:val="0"/>
        </w:rPr>
        <w:t xml:space="preserve"> (elastības finansējums – 1 736 071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61 805 739 </w:t>
      </w:r>
      <w:r w:rsidR="00000000" w:rsidRPr="00000000" w:rsidDel="00000000">
        <w:rPr>
          <w:i w:val="1"/>
          <w:rtl w:val="0"/>
        </w:rPr>
        <w:t xml:space="preserve">euro </w:t>
      </w:r>
      <w:r w:rsidR="00000000" w:rsidRPr="00000000" w:rsidDel="00000000">
        <w:rPr>
          <w:rtl w:val="0"/>
        </w:rPr>
        <w:t xml:space="preserve">apmērā, tai skaitā ERAF finansējumu – 52 534 877 </w:t>
      </w:r>
      <w:r w:rsidR="00000000" w:rsidRPr="00000000" w:rsidDel="00000000">
        <w:rPr>
          <w:i w:val="1"/>
          <w:rtl w:val="0"/>
        </w:rPr>
        <w:t xml:space="preserve">euro </w:t>
      </w:r>
      <w:r w:rsidR="00000000" w:rsidRPr="00000000" w:rsidDel="00000000">
        <w:rPr>
          <w:rtl w:val="0"/>
        </w:rPr>
        <w:t xml:space="preserve">apmērā, valsts budžeta finansējumu – 9 270 862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63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48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422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192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384 (pirmsinkubācijā un inkubācijā atbalstīto uzņēmumu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192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saņēmējam ir jāuzkrāj dati par viedās specializācijas stratēģijas (RIS3) jomā atbalstītajiem komersantiem, ievadot tos Kohēzijas politikas fondu vadības informācijas sistēmā (turpmāk - vadības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punkta aktivitātēm atbilstoši projektu iesniegumu atlases nolikuma prasībām un iesniedz to sadarbības iestādē, izmantojot vadības informācijas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apakšpunktos noteikto aktivitāšu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nepieciešama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atlīdzības izmaksām ir 20 procentu no pārējām tiešajām attiecināmajām izmaksām, neieskaitot personāla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stājies spēkā lēmums par atbalsta piešķiršanu, pirmsinkubācijas periodam nepārsniedzot vienu gadu un inkubācijas atbalsta periodam –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pārstāvis no finansējuma saņēmēja, pašvaldības, augstskolas, atbildīgās iestādes, komersantu organizācijas un/vai finanšu institūcijas vai uzņēmuma. Pārstāvim ir viena balss no katras organizācijas. Papildus piesaistītie nozaru eksperti un pārējie dalībnieki ir ar novērotāja tiesībām. Vērtēšanas komisijas atzinumam ir konsultatīvs raksturs.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(turpmāk – Komisijas regula Nr.  </w:t>
      </w:r>
      <w:r w:rsidR="00000000" w:rsidRPr="00000000" w:rsidDel="00000000">
        <w:rPr>
          <w:rtl w:val="0"/>
        </w:rPr>
        <w:t xml:space="preserve">2018/1046</w:t>
      </w:r>
      <w:r w:rsidR="00000000" w:rsidRPr="00000000" w:rsidDel="00000000">
        <w:rPr>
          <w:rtl w:val="0"/>
        </w:rPr>
        <w:t xml:space="preserve">),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Komisijas regulas Nr. 2018/1046 132.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iesniedz vadības informācijas sistēmā par katru gala labuma guvēju vismaz 2 reizes gadā kopā ar maksājuma pieprasījumu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gala labuma guvēju līdzfinansējuma avotu un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eksporta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piesaistīto ārvalstu dalībnieku skaitu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saņēmušo gala labuma guvēju piesaistīto investīciju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saņēmušo gala labuma guvēju dalībnieku – sieviešu un vīriešu – skaitu valdēs;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šo noteikumu</w:t>
      </w:r>
      <w:r w:rsidR="00000000" w:rsidRPr="00000000" w:rsidDel="00000000">
        <w:rPr>
          <w:rtl w:val="0"/>
        </w:rPr>
        <w:t xml:space="preserve">17.</w:t>
      </w:r>
      <w:r w:rsidR="00000000" w:rsidRPr="00000000" w:rsidDel="00000000">
        <w:rPr>
          <w:rtl w:val="0"/>
        </w:rPr>
        <w:t xml:space="preserve"> punkta ietvaros noteikto sadarbību un tās rezultātiem;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apjoms,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publiskais finansējums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kapitālizdevumi – iekārtas, intelektuālā īpašuma tiesības, datoru programmatūra (pētniecības un attīstības izdevumu apjoms,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un attīstības izdevumu apjoms – privātās investīcijas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rūpnieciskie (lietišķie) pētījumi (pētniecības un attīstības izdevumu apjoms,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 ekonomiskā priekšizpēte (pētniecības un attīstības izdevumu apjoms,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darbaspēka izmaksas (pētniecības un attīstības izdevumu apjoms, euro);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fundamentālie pētījumi (pētniecības un attīstības izdevumu apjoms, euro).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Komisijas regulas Nr. 2018/1046, Eiropas Parlamenta un Padomes 2014. gada 26. februāra Direktīvas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likuma "Par interešu konflikta novēršanu valsts amatpersonu darbībā" un Eiropas Komisijas 2021. gada 9.aprīļa paziņojuma Nr. C/2021/2119 norādījumu par izvairīšanos no interešu konfliktiem un to pārvaldību saskaņā ar Finanšu regulu un apņemas to ievērot;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w:t>
      </w:r>
      <w:r w:rsidR="00000000" w:rsidRPr="00000000" w:rsidDel="00000000">
        <w:rPr>
          <w:i w:val="1"/>
          <w:rtl w:val="0"/>
        </w:rPr>
        <w:t xml:space="preserve"> 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2023/2831, ievērojot prasības normatīvajos aktos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2023/2831,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de minimis atbalsta piešķiršanas gala labuma guvējam pārbauda, vai plānotais de minimis atbalsts kopā ar iepriekšējos trīs gados no atbalsta piešķiršanas dienas saņemto de minimis atbalstu viena vienota uzņēmuma līmenī nepārsniedz Komisijas regulas Nr. 2023/2831 3. panta 2. punktā noteikto maksimālo de minimis atbalsta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de minimis atbalstu drīkst kumulēt ar citu de minimis atbalstu ievērojot Komisijas regulas Nr. 2023/2831 5. panta nosacījumus. Šo noteikumu ietvaros saņemto de minimis atbalstu var apvienot ar citu de minimis atbalstu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de minimis atbalsta piešķiršanu var pieņemt saskaņā ar Komisijas regulas Nr. 2023/2831 7. panta 3. punktu un 8.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 atbilstoši Komisijas regulas Nr. 2023/2831 6. panta 3.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Komisijas regulas Nr. 2023/2831 1. panta 1. punkta a), b), c) vai d) apakšpunktā, gan vienā vai vairākās citās nozarēs, uz kurām attiecas šīs regulas darbības joma, tas nodrošina šo nozaru darbību vai izmaksu nodalīšanu saskaņā ar Komisijas regulas Nr. 2023/2831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de minimis atbalsta, ko piešķir saskaņā ar šiem noteikumiem.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šo noteikumos ietvaros tiek pārkāpti Komisijas regulas Nr. 2023/2831 nosacījumi, gala labuma guvējam ir pienākums atmaksāt atbalsta sniedzējam projekta ietvaros saņemto nelikumīgo de minimis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nepiešķir gala labuma guvējam de minimis atbalstu, ja de minimis atbalsts ir saistīts ar kādu no Komisijas regulas Nr. 2023/2831 1. panta 1. un 2. punktā un Eiropas Parlamenta un Padomes 2021. gada 24. jūnija Regulas (ES) Nr. 2021/1058 par Eiropas Reģionālās attīstības fondu un Kohēzijas fondu 7. panta 1. punktā noteiktajām neatbalstāmajām nozarēm un darbībām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23-TA-3321</w:t>
    </w:r>
    <w:r>
      <w:br/>
    </w:r>
    <w:r w:rsidR="00000000" w:rsidRPr="00000000" w:rsidDel="00000000">
      <w:rPr>
        <w:rtl w:val="0"/>
      </w:rPr>
      <w:t xml:space="preserve">Izdrukāts 29.07.2026. 23.26 - 2.0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23-TA-3321</w:t>
    </w:r>
    <w:r>
      <w:br/>
    </w:r>
    <w:r w:rsidR="00000000" w:rsidRPr="00000000" w:rsidDel="00000000">
      <w:rPr>
        <w:rtl w:val="0"/>
      </w:rPr>
      <w:t xml:space="preserve">Izdrukāts 29.07.2026. 23.26 - 2.0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noteikumu_konsolidētā_versija_23-TA-3321.docx</dc:title>
</cp:coreProperties>
</file>

<file path=docProps/custom.xml><?xml version="1.0" encoding="utf-8"?>
<Properties xmlns="http://schemas.openxmlformats.org/officeDocument/2006/custom-properties" xmlns:vt="http://schemas.openxmlformats.org/officeDocument/2006/docPropsVTypes"/>
</file>