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apbalvojuma piešķiršanu par sasniegumiem starptautiskajās mācību priekšmetu olimpiādēs un starptautiskajā jauno profesionāļu meistarības konkursā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EuroSkills Herning 2025</w:t>
      </w:r>
      <w:r w:rsidR="00000000" w:rsidRPr="00000000" w:rsidDel="00000000">
        <w:rPr>
          <w:rStyle w:val="paragraph_header"/>
          <w:b w:val="1"/>
          <w:rtl w:val="0"/>
        </w:rPr>
        <w:t xml:space="preserve">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25-TA-2463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