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3.1. reformu un investīciju virziena "Reģionālā politika" 3.1.2. reformas "Sociālo un nodarbinātības pakalpojumu pieejamība minimālo ienākumu reformas atbalstam" 3.1.2.3.i. investīcijas "Ilgstošas sociālās aprūpes pakalpojuma noturība un nepārtrauktība: jaunu ģimeniskai videi pietuvinātu aprūpes pakalpojumu sniedzēju attīstība pensijas vecuma personām" otrās kārtas īstenošanas un uzraudzības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3. komponentes "Nevienlīdzības mazināšana" 3.1. reformu un investīciju virziena "Reģionālā politika" 3.1.2. reformas "Sociālo un nodarbinātības pakalpojumu pieejamība minimālo ienākumu reformas atbalstam" 3.1.2.3.i. investīcijas "Ilgstošas sociālās aprūpes pakalpojuma noturība un nepārtrauktība: jaunu ģimeniskai videi pietuvinātu aprūpes pakalpojumu sniedzēju attīstība pensijas vecuma personām" (turpmāk – investīcija) otrās kārtas īstenošanas un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otrās kārtas īstenošanas un uzraudzības kārtība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sasniedzamos mērķrādītājus;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iesniedzēju un tam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iesniegumu vērtēšanas kritērijus un projektu iesniegumu atlases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īstenošanā un uzraudzībā iesaistītās institūcijas, to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līguma vai vienošanās par projekta īstenošanu (turpmāk – līgums) saturu, slēgšanas un grozīšanas kārtību, tai skaitā līguma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komercdarbības atbalsta piešķiršanas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09.07.2024. noteikumiem Nr. 451)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otrās kārtas mērķis ir nodrošināt pāreju no institucionālas ilgtermiņa aprūpes sniegšanas uz kopienā balstītas aprūpes modeli un attīstīt ģimeniskai videi pietuvināta sociālā pakalpojuma pieejamību pašvaldībās pensijas vecuma personām, saglabājot personas neatkarību un tās aprūpē iesaistīto ģimenes locekļu nodarbinātību.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otrās kārtas mērķa grupa ir pensijas vecuma personas, kurām pašvaldības sociālais dienests ir piešķīris ilgstošas sociālās aprūpes un sociālās rehabilitācijas pakalpojumu institūcijā, ja izdevumus par šo pakalpojumu ne vairāk kā 85 procentu apmērā no Sociālo pakalpojumu un sociālās palīdzības likuma 13.</w:t>
      </w:r>
      <w:r w:rsidR="00000000" w:rsidRPr="00000000" w:rsidDel="00000000">
        <w:rPr>
          <w:vertAlign w:val="superscript"/>
          <w:rtl w:val="0"/>
        </w:rPr>
        <w:t xml:space="preserve">1</w:t>
      </w:r>
      <w:r w:rsidR="00000000" w:rsidRPr="00000000" w:rsidDel="00000000">
        <w:rPr>
          <w:rtl w:val="0"/>
        </w:rPr>
        <w:t xml:space="preserve"> panta trešajā daļā minētās pensijas vai atlīdzības, vai šā likuma 29. panta otrās daļas 1. punktā minētajiem pabalstiem, pārējo daļu līdzfinansējot pašvaldībai, sedz: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pensijas vecuma persona, kurai ir piešķirts trūcīgas vai maznodrošinātas mājsaimniecības statuss;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pensijas vecuma persona, kurai nav piešķirts trūcīgas vai maznodrošinātas mājsaimniecības statuss, vai viņas apgādnieki no saviem līdzekļiem, ja mērķa grupas persona nespēj samaksāt par minēto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otrā kārta īsteno Atveseļošanas fonda plāna reformu 3.1.2.r. "Sociālo un nodarbinātības pakalpojumu pieejamība minimālo ienākumu reformas atbalstam", kuras mērķis ir nodrošināt augstam sociālās atstumtības riskam pakļautajiem iedzīvotājiem, kuriem ir ierobežoti finanšu resursi, pieeju būtiski nepieciešamiem sociālajiem un nodarbinātības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investīcijas otrās kārtas īstenošanu atbildīgā nozares ministrija ir Labklājības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otrās kārtas īstenošanas ietvaros sasniedzami šādi mērķrādītāji: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30. jūnijam – 17 līgumu noslēgšana ar pašvaldībām par projektu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30. jūnijam – jaunu vietu nodrošināšana 852 senioriem tādu ilgtermiņa aprūpes pakalpojumu saņemšanai, kas pietuvināti ģimeniskai videi.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09.07.2024. noteikumiem Nr. 451)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mērķrādītāju sasniegšanu apliecina šāds Kohēzijas politikas fondu vadības informācijas sistēmas Atveseļošanas fonda modulī (turpmāk – vadības informācijas sistēma) iesniegts dokumentu un informācijas kopums: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noteiktā mērķrādītāja sasniegšanai – Centrālās finanšu un līgumu aģentūras (turpmāk – aģentūra) informācija par noslēgtajiem: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minētajiem līgumiem, kas paredz jaunu ģimeniskai videi pietuvinātu ilgstošas aprūpes pakalpojumu sniegšanas vietu izveidošanu, un to kopijas;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apakšpunktā</w:t>
      </w:r>
      <w:r w:rsidR="00000000" w:rsidRPr="00000000" w:rsidDel="00000000">
        <w:rPr>
          <w:rtl w:val="0"/>
        </w:rPr>
        <w:t xml:space="preserve"> noteiktajiem pilnvarojuma līgumiem un to kopijas;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noteiktajiem nodomu protokoliem un to kopijas;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noteiktā mērķrādītāja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iesniegta būvniecības jomu regulējošajos normatīvajos aktos paredzētā apliecinājuma par būvdarbu pabeigšanu un ēku nodošanu ekspluatācijā kopija;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sagatavots pārskats par izveidotajām pakalpojumu sniegšanas vietām, kurā ietverta šāda informācija: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skaits, to atrašanās vieta, platība kvadrātmetros (m</w:t>
      </w:r>
      <w:r w:rsidR="00000000" w:rsidRPr="00000000" w:rsidDel="00000000">
        <w:rPr>
          <w:vertAlign w:val="superscript"/>
          <w:rtl w:val="0"/>
        </w:rPr>
        <w:t xml:space="preserve">2</w:t>
      </w:r>
      <w:r w:rsidR="00000000" w:rsidRPr="00000000" w:rsidDel="00000000">
        <w:rPr>
          <w:rtl w:val="0"/>
        </w:rPr>
        <w:t xml:space="preserve">),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minēto mērķa grupas personu izmitināšanai paredzēto vietu skaits ar finansējuma saņēmēja apstiprinājumu, ka šīs personas būs investīcijas galasaņēmēji, un pieejamais aprīkojums;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apmērs, kas nodrošina pāreju no institucionālās aprūpes uz vietējās kopienas nodrošinātu aprūpi pensijas vecuma personām;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 pabeigtie projekti atbilst Būvju vispārīgo prasību būvnormatīvā LBN 200-21 noteiktajām minimālajām vides pieejamības prasībām un ministrijas izstrādātajiem labās prakses ieteikumiem vides piekļūstamības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otrās kārtas atbalsta veids ir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otrās kārtas Atveseļošanas fonda finansējums ir 68 753 017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otrās kārtas kopējo finansējumu veido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minētais Atveseļošanas fonda finansējums un cits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un privātais finansējums pievienotās vērtības nodokļa izmaksu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un privātais finansējums investīcijas otrās kārtas projektu atbalstāmo darbību īstenošanai, ja investīcijas otrās kārtas projektu īstenošanai nepieciešamie ieguldījumi pārsniedz tiem pieejamo Atveseļošanas fonda finansējumu, bet tie ir tieši saistīti ar šo noteikumu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 mērķrādītāja sasniegšanu un atbilst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minētajām atbalstāmajām darbībām un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minētajām attiecināmo izmaksu pozīcijām.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minēto atbalstāmo darbību īstenošanai vienas ēkas izveidei Atveseļošanas fonda finansējums nepārsniedz 1 273 204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Pievienotās vērtības nodokļa izmaksas un izmaksas investīcijas otrās kārtas projekta atbalstāmo darbību īstenošanai, ja tās pārsniedz investīcijas otrās kārtas projektam pieejamo Atveseļošanas fonda finansējumu, sedz no finansējuma saņēmēja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Investīcijas otrās kārtas ietvaros projekta iesniedzējs, kas pēc projekta iesnieguma apstiprināšanas un līguma noslēgšanas ir finansējuma saņēmējs (turpmāk – finansējuma saņēmējs),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pašvaldības iestāde, pašvaldības kapitālsabiedrība vai pašvaldības kontrolēta kapitālsabiedrība, kas nodrošina nekustamo īpašumu pārvaldīšanu un apsaimniekošanu vai sociālo pakalpojumu sniegšanu (turpmāk – pašvaldības kapitālsabiedrība);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sociālo pakalpojumu sniedzējs – komersants, biedrība vai nodibinājums.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finansējuma saņēmējs investīcijas otrās kārtas projekta ietvaros plāno sniegt ģimeniskai videi pietuvinātu pakalpojumu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minētajām personām, tas ģimeniskai videi pietuvinātu pakalpojumu sniedz kā vispārējas tautsaimnieciskas nozīmes pakalpojumu atbilstoši Eiropas Komisijas 2011. gada 20. decembra lēmumam Nr. 2012/21/ES par Līguma par Eiropas Savienības darbību 106. panta 2. punkta piemērošanu valsts atbalstam attiecībā uz kompensāciju par sabiedriskajiem pakalpojumiem dažiem uzņēmumiem, kuriem uzticēts sniegt pakalpojumus ar vispārēju tautsaimniecisku nozīmi (turpmāk – Eiropas Komisijas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Maksimālais ēku skaits, ko projekta iesniedzējs var paredzēt vienā investīcijas otrās kārtas projekta iesniegumā, lai veidotu ģimeniskai videi pietuvinātu pakalpojumu un saņemtu Atveseļošanas fonda finansējumu, ir trīs ēkas. Ja projekta iesniedzējs ir Rīgas valstspilsēta, tās iestādes vai pašvaldības kapitālsabiedrība, investīcijas otrās kārtas projekta iesniegumā paredzamais maksimālais ēku skaits ir sešas ēkas. Projekta iesniedzējs katrā projektu iesniegumu atlasē var iesniegt vienu projekta iesniegumu par ēku izveidi vienā administratīvajā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Projektu iesniegumu atlase, projektu iesniegumu vērtēšanas kritēriji, lēmuma pieņemšana par projektu iesniegumu, līguma slēgšana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Aģentūra veic atklātu projektu iesniegumu atlasi saskaņā ar aģentūras apstiprinātu un ministrijas saskaņotu investīcijas otrās kārtas projektu iesniegumu atlases nolikumu. Ja projektu iesniegumu atlasē neapstiprina projektu iesniegumus par visu investīcijas otrajai kārtai pieejamo Atveseļošanas fonda finansējumu, rīko atkārtotu projektu iesniegumu atlasi par atlikušo investīcijas otrajai kārtai pieejamo Atveseļošanas fonda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ar ministriju saskaņotā termiņā izsludina investīcijas otrās kārtas projektu iesniegumu atlasi, publicējot informāciju par pagarināšanu, pārtraukšanu vai izbeigšanu oficiālajā izdevumā "Latvijas Vēstnesis" un tīmekļvietnē  www.cfla.gov.lv.</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iesnieguma sagatavošanai un iesniegšanai vadības informācijas sistēmā paredz ne mazāk kā 50 darbdienas no projektu iesniegumu atlases izsludināšanas dienas oficiālajā izdevumā "Latvijas Vēstnesis" un tīmekļvietnē </w:t>
      </w:r>
      <w:r w:rsidR="00000000" w:rsidRPr="00000000" w:rsidDel="00000000">
        <w:rPr>
          <w:rtl w:val="0"/>
        </w:rPr>
        <w:t xml:space="preserve">www.cfla.gov.lv</w:t>
      </w:r>
      <w:r w:rsidR="00000000" w:rsidRPr="00000000" w:rsidDel="00000000">
        <w:rPr>
          <w:rtl w:val="0"/>
        </w:rPr>
        <w:t xml:space="preserve">. Projekta iesniedzējs sagatavo un iesniedz projekta iesniegumu vadības informācijas sistēmā un tam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 pārvaldes lēmumu vai pilnvarojuma līgumu, ja finansējuma saņēmējs ģimeniskai videi pietuvinātu pakalpojumu paredz sniegt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minētā finansējuma saņēmēja ar pašvaldību noslēgto nodomu protokolu par sadarbību ģimeniskai videi pietuvināta pakalpojuma sniegšanā investīcijas otrās kārtas projektā izveidotajā infrastruktūrā, ja finansējuma saņēmējs ģimeniskai videi pietuvinātu pakalpojumu paredz sniegt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minētajām personām.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iesnieguma iesniegšana vadības informācijas sistēmā negarantē Atveseļošanas fonda finansējuma piešķiršanu.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otrās kārtas projektu iesniegumu vērtēšanai aģentūra izveido projektu iesniegumu vērtēšanas komisiju, kuras sastāvā ir aģentūras pārstāvji un vismaz divi ministrijas pārstāvji. Projektu iesniegumu vērtēšanas komisijas balsstiesīgie locekļi paraksta apliecinājumu par interešu konflikta neesību saskaņā ar Eiropas Parlamenta un Padomes 2018. gada 18. jūlija Regulas (ES, </w:t>
      </w:r>
      <w:r w:rsidR="00000000" w:rsidRPr="00000000" w:rsidDel="00000000">
        <w:rPr>
          <w:i w:val="1"/>
          <w:rtl w:val="0"/>
        </w:rPr>
        <w:t xml:space="preserve">Euratom</w:t>
      </w:r>
      <w:r w:rsidR="00000000" w:rsidRPr="00000000" w:rsidDel="00000000">
        <w:rPr>
          <w:rtl w:val="0"/>
        </w:rPr>
        <w:t xml:space="preserve">)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w:t>
      </w:r>
      <w:r w:rsidR="00000000" w:rsidRPr="00000000" w:rsidDel="00000000">
        <w:rPr>
          <w:rtl w:val="0"/>
        </w:rPr>
        <w:t xml:space="preserve">1296/2013</w:t>
      </w:r>
      <w:r w:rsidR="00000000" w:rsidRPr="00000000" w:rsidDel="00000000">
        <w:rPr>
          <w:rtl w:val="0"/>
        </w:rPr>
        <w:t xml:space="preserve">, (ES) Nr. </w:t>
      </w:r>
      <w:r w:rsidR="00000000" w:rsidRPr="00000000" w:rsidDel="00000000">
        <w:rPr>
          <w:rtl w:val="0"/>
        </w:rPr>
        <w:t xml:space="preserve">1301/2013</w:t>
      </w:r>
      <w:r w:rsidR="00000000" w:rsidRPr="00000000" w:rsidDel="00000000">
        <w:rPr>
          <w:rtl w:val="0"/>
        </w:rPr>
        <w:t xml:space="preserve">, (ES) Nr. </w:t>
      </w:r>
      <w:r w:rsidR="00000000" w:rsidRPr="00000000" w:rsidDel="00000000">
        <w:rPr>
          <w:rtl w:val="0"/>
        </w:rPr>
        <w:t xml:space="preserve">1303/2013</w:t>
      </w:r>
      <w:r w:rsidR="00000000" w:rsidRPr="00000000" w:rsidDel="00000000">
        <w:rPr>
          <w:rtl w:val="0"/>
        </w:rPr>
        <w:t xml:space="preserve">, (ES) Nr. </w:t>
      </w:r>
      <w:r w:rsidR="00000000" w:rsidRPr="00000000" w:rsidDel="00000000">
        <w:rPr>
          <w:rtl w:val="0"/>
        </w:rPr>
        <w:t xml:space="preserve">1304/2013</w:t>
      </w:r>
      <w:r w:rsidR="00000000" w:rsidRPr="00000000" w:rsidDel="00000000">
        <w:rPr>
          <w:rtl w:val="0"/>
        </w:rPr>
        <w:t xml:space="preserve">, (ES) Nr. </w:t>
      </w:r>
      <w:r w:rsidR="00000000" w:rsidRPr="00000000" w:rsidDel="00000000">
        <w:rPr>
          <w:rtl w:val="0"/>
        </w:rPr>
        <w:t xml:space="preserve">1309/2013</w:t>
      </w:r>
      <w:r w:rsidR="00000000" w:rsidRPr="00000000" w:rsidDel="00000000">
        <w:rPr>
          <w:rtl w:val="0"/>
        </w:rPr>
        <w:t xml:space="preserve">, (ES) Nr. </w:t>
      </w:r>
      <w:r w:rsidR="00000000" w:rsidRPr="00000000" w:rsidDel="00000000">
        <w:rPr>
          <w:rtl w:val="0"/>
        </w:rPr>
        <w:t xml:space="preserve">1316/2013</w:t>
      </w:r>
      <w:r w:rsidR="00000000" w:rsidRPr="00000000" w:rsidDel="00000000">
        <w:rPr>
          <w:rtl w:val="0"/>
        </w:rPr>
        <w:t xml:space="preserve">, (ES) Nr. </w:t>
      </w:r>
      <w:r w:rsidR="00000000" w:rsidRPr="00000000" w:rsidDel="00000000">
        <w:rPr>
          <w:rtl w:val="0"/>
        </w:rPr>
        <w:t xml:space="preserve">223/2014</w:t>
      </w:r>
      <w:r w:rsidR="00000000" w:rsidRPr="00000000" w:rsidDel="00000000">
        <w:rPr>
          <w:rtl w:val="0"/>
        </w:rPr>
        <w:t xml:space="preserve">, (ES) Nr. </w:t>
      </w:r>
      <w:r w:rsidR="00000000" w:rsidRPr="00000000" w:rsidDel="00000000">
        <w:rPr>
          <w:rtl w:val="0"/>
        </w:rPr>
        <w:t xml:space="preserve">283/2014</w:t>
      </w:r>
      <w:r w:rsidR="00000000" w:rsidRPr="00000000" w:rsidDel="00000000">
        <w:rPr>
          <w:rtl w:val="0"/>
        </w:rPr>
        <w:t xml:space="preserve"> un Lēmumu Nr. 541/2014/ES un atceļ Regulu (ES, </w:t>
      </w:r>
      <w:r w:rsidR="00000000" w:rsidRPr="00000000" w:rsidDel="00000000">
        <w:rPr>
          <w:i w:val="1"/>
          <w:rtl w:val="0"/>
        </w:rPr>
        <w:t xml:space="preserve">Euratom</w:t>
      </w:r>
      <w:r w:rsidR="00000000" w:rsidRPr="00000000" w:rsidDel="00000000">
        <w:rPr>
          <w:rtl w:val="0"/>
        </w:rPr>
        <w:t xml:space="preserve">) Nr. </w:t>
      </w:r>
      <w:r w:rsidR="00000000" w:rsidRPr="00000000" w:rsidDel="00000000">
        <w:rPr>
          <w:rtl w:val="0"/>
        </w:rPr>
        <w:t xml:space="preserve">966/2012</w:t>
      </w:r>
      <w:r w:rsidR="00000000" w:rsidRPr="00000000" w:rsidDel="00000000">
        <w:rPr>
          <w:rtl w:val="0"/>
        </w:rPr>
        <w:t xml:space="preserve">, 61. punktu, kā arī apņemas ievērot konfidencialitāti.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Projektu iesniegumu vērtēšanas komisija projektu iesniegumu vērtēšanu sāk pēc projektu iesniegumu iesniegšanas termiņa beigām, vērtējot šajā termiņā saņemtos investīcijas otrās kārtas projektu iesniegumus atbilstoši projektu iesniegumu vērtēšanas kritērijiem, tai skaitā vērtē atbilstību: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2018. gada 18. jūlija Regulas (ES)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136. pantā minētajiem izslēgšanas kritērijiem (turpmāk – izslēgšanas kritēriji). Ja konstatē, ka uz projekta iesniedzēju ir attiecināms kaut viens no izslēgšanas kritērijiem, projekta iesnieguma vērtēšanu neturpina;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kvalitātes un atbilstības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Pēc tam kad izvērtēta investīcijas otrās kārtas projektu iesniegumu atbilstība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kvalitātes kritērijiem, projektu iesniegumus, kas saņēmuši minimāli nepieciešamo punktu skaitu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minēto 3.4., 3.5. un 3.7. kvalitātes kritēriju vērtējumā, sarindo dilstošā secībā atbilstoši iegūtajam punktu skaitam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vairāki projektu iesniegumi ieguvuši vienādu punktu skaitu, priekšroku dod tam projekta iesniegumam, kas ieguvis vairāk punktu par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3.10. kvalitātes kritēriju;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3.9. kvalitātes kritēriju;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3.8. kvalitātes kritēriju;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3.4. kvalitātes kritēriju;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3.5. kvalitātes kritēriju;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3.6. kvalitātes kritēriju;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vienāds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3.10. kvalitātes kritērija vērtējums, ņem vērā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3.9. kvalitātes kritērija vērtējumu. Ja ir vienāds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3.9. kvalitātes kritērija vērtējums, ņem vērā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3.8. kvalitātes kritērija vērtējumu. Ja ir vienāds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3.8. kvalitātes kritērija vērtējums, ņem vērā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3.4. kvalitātes kritērija vērtējumu. Ja ir vienāds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3.4. kvalitātes kritērija vērtējums, ņem vērā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3.5. kvalitātes kritērija vērtējumu. Ja ir vienāds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3.5. kvalitātes kritērija vērtējums, ņem vērā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3.6. kvalitātes kritērija 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investīcijas otrās kārtas projektu iesniegumu sarindošanas atbilstoši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punktu skaits ir vienāds, priekšroku dod tam projekta iesniegumam, kas  vadības informācijas sistēmā iesniegts agrāk;</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 projektu iesniegumus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atbilstības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izveidojies Atveseļošanas fonda finansējuma atlikums, kas nav pietiekams secīgi nākamā kvalitatīvā investīcijas otrās kārtas projekta iesnieguma atbalstīšanai, vai ja attiecīgais projekta iesniedzējs atsakās īstenot projektu ar samazinātu Atveseļošanas fonda finansējumu, atlikušo Atveseļošanas fonda finansējumu izmanto, lai atbalstītu nākamo investīcijas otrās kārtas projekta iesniegumu ar augstāko punktu skaitu atbilstoši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pieņem lēmumu par projekta apstiprināšanu, apstiprināšanu ar nosacījumu vai noraidīšanu.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Lēmumu par projekta iesnieguma apstiprināšanu pieņem, ja ir izpildīti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investīcijas otrās kārtas projekta iesniedzēju nav attiecināms neviens no izslēgšanas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otrās kārtas projekta iesniegums atbilst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noteiktajiem kvalitātes un atbilstības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otrās kārtas ietvaros ir pieejams Atveseļošanas fonda finansējums projekta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iesniedzējam jāveic aģentūras noteiktās darbības, lai nodrošinātu investīcijas otrās kārtas projekta iesnieguma atbilstību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precizējamiem atbilstības kritērijiem. Ja kāds no lēmuma nosacījumiem netiek izpildīts vai netiek izpildīts lēmumā noteiktajā termiņā, investīcijas otrās kārtas projekta iesniegums uzskatāms par noraidītu. Savukārt, ja nosacījumi tiek izpildīti, aģentūra izsniedz atzinumu par lēmumā noteikto nosacījumu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Lēmumu par projekta iesnieguma noraidīšanu pieņem, ja ir iestājies vismaz viens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investīcijas otrās kārtas projekta iesniedzēju ir attiecināms vismaz viens izslēgšanas kritērijs;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kārtas projekta iesniegums neatbilst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noteiktajiem kvalitātes kritērijiem vai neprecizējamiem atbilstības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otrās kārtas ietvaros nav pieejams Atveseļošanas fonda finansējums projekta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Investīcijas otrās kārtas projekta iesniedzējs – pašvaldības kapitālsabiedrība un sociālo pakalpojumu sniedzējs (komersants, biedrība vai nodibinājums) – lēmumu par tā projekta iesniegumu var apstrīdēt Finanšu ministrijā un pārsūdzēt Administratīvā procesa likumā noteiktajā kārtībā. Projekta iesniedzējs – pašvaldība vai pašvaldības iestāde – var apstrīdēt aģentūras pieņemto lēmumu viena mēneša laikā no tā spēkā stāšanās dienas Finanšu ministrijā. Finanšu ministrijas pieņemtais lēmums nav pārsūdzams.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Investīcijas otrās kārtas projekta īstenošanai aģentūra pēc tam, kad stājies spēkā lēmums par projekta iesnieguma apstiprināšanu vai atzinums par lēmumā noteikto nosacījumu izpildi, slēdz līgumu ar finansējuma saņēmēju. Pirms līguma noslēgšanas finansējuma saņēmējs vai aģentūra var precizēt investīcijas otrās kārtas projekta iesniegumā norādīto informāciju, ja tā nav aktuāla, pēc būtības nemainot projekta iesniegumu. Līgumā iekļauj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rekvizīti;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tiesības un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projektam pieejamais Atveseļošanas fonda finansējuma apmērs;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veiktās izmaksas var uzskatīt par attiecināmām;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un uzraudzības nosacījumi, tai skaitā dokumentu iesniegšanai un izskatīšanai, pārbaužu veikšanai, datu ievadei vadības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pieprasīšanas un veikšanas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īstenošanu saistīto dokumentu uzglabāšanas termiņi;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ministrijas izstrādātie ģimeniskai videi pietuvinātu pakalpojumu nodrošināšanas principi pensijas vecuma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līguma darbības laiks, tā grozīšanas un izbeigšanas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 un 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Investīcijas otrās kārtas ietvaros ir īstenojama jaunu ēku būvniecība ģimeniskai videi pietuvināta pakalpojuma sniegšanai pensijas vecuma personām ilgstošas sociālās aprūpes un sociālās rehabilitācijas institūcijā, atbalstot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īstenošanu pamatojošās dokumentācijas (piesaistes būvprojekta un citas tehniskās dokumentācijas) izstrāde (izņemot projekta iesnieguma veidlapas aizpildīšanu un iesniegšanu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 un teritorijas labiekārtošana, būvekspertīze, būvuzraudzība, autoruzraudzība;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vizuālās identitātes prasību nodrošināšana, ja tas nav paredzēts būvniecības līgumā;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materiāli tehniskā nodrošinājuma iegāde, tai skaitā digitālo risinājumu ieviešana;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pieejamības konsultācijas;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Investīcijas otrās kārtas projektā var paredzēt šādas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31.6.</w:t>
      </w:r>
      <w:r w:rsidR="00000000" w:rsidRPr="00000000" w:rsidDel="00000000">
        <w:rPr>
          <w:rtl w:val="0"/>
        </w:rPr>
        <w:t xml:space="preserve"> apakšpunktā</w:t>
      </w:r>
      <w:r w:rsidR="00000000" w:rsidRPr="00000000" w:rsidDel="00000000">
        <w:rPr>
          <w:rtl w:val="0"/>
        </w:rPr>
        <w:t xml:space="preserve"> minētās atbalstāmās darbības ietvaros projekta vadības personāla atlīdzības izmaksas, kas radušās uz darba līguma vai rīkojuma pamata;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līgumu izmaksas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minēto atbalstāmo darbību īstenošanai, tai skaitā šo noteikumu </w:t>
      </w:r>
      <w:r w:rsidR="00000000" w:rsidRPr="00000000" w:rsidDel="00000000">
        <w:rPr>
          <w:rtl w:val="0"/>
        </w:rPr>
        <w:t xml:space="preserve">31.6.</w:t>
      </w:r>
      <w:r w:rsidR="00000000" w:rsidRPr="00000000" w:rsidDel="00000000">
        <w:rPr>
          <w:rtl w:val="0"/>
        </w:rPr>
        <w:t xml:space="preserve"> apakšpunktā</w:t>
      </w:r>
      <w:r w:rsidR="00000000" w:rsidRPr="00000000" w:rsidDel="00000000">
        <w:rPr>
          <w:rtl w:val="0"/>
        </w:rPr>
        <w:t xml:space="preserve"> minētās atbalstāmās darbības īstenošanai, ja projekta vadības personālu piesaista uz iepirkumu līguma pamata.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31.6.</w:t>
      </w:r>
      <w:r w:rsidR="00000000" w:rsidRPr="00000000" w:rsidDel="00000000">
        <w:rPr>
          <w:rtl w:val="0"/>
        </w:rPr>
        <w:t xml:space="preserve"> apakšpunktā</w:t>
      </w:r>
      <w:r w:rsidR="00000000" w:rsidRPr="00000000" w:rsidDel="00000000">
        <w:rPr>
          <w:rtl w:val="0"/>
        </w:rPr>
        <w:t xml:space="preserve"> minētās atbalstāmās darbības īstenošanai finansējuma saņēmējs plāno kā vienu izmaksu pozīciju trīs procentu apmērā no projektam pieejamā Atveseļošanas fonda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investīcijas otrās kārtas projekta iesniegums tiek apstiprināts un līgums noslēgts,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minēto atbalstāmo darbību izmaksas ir attiecināmas no 2023. gada 10. marta. To investīcijas otrās kārtas atbalstāmo darbību izmaksas, kuru īstenošana pabeigta līdz 2023. gada 9. martam, nav attiecināmas finansēšanai no Atveseļošanas fonda.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Atveseļošanas fonda finansējums nesedz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samaksai, bet šādas izmaksas ir iekļaujamas investīcijas otrās kārtas projektā kā pašvaldības finansējums vai privātais finansējums;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īpašuma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radušās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minēto atbalstāmo darbību īstenošanai, pārsniedz līgumā noteikto Atveseļošanas fonda finansējuma un pievienotās vērtības nodokļa izmaksu apmēru un ir nepieciešamas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noteiktā mērķrādītāja sasniegšanai, bet šādas izmaksas ir iekļaujamas investīcijas otrās kārtas projektā kā attiecināmais pašvaldības finansējums vai privātais 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09.07.2024. noteikumiem Nr. 451)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Investīcijas īstenošanas un uzraudzības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Finansējuma saņēmējs investīcijas otrās kārtas projekta īstenošanai un uzraudzībai nepieciešamās informācijas iesniegšanu nodrošina vadības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Finansējuma saņēmējs 10 darbdienu laikā pēc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minētā līguma abpusējas parakstīšanas aģentūrā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otrās kārtas projekta plānoto progresa pārskatu iesniegšanas grafiku, kurā norāda maksājuma veidu (avansa maksājums, starpposma maksājums un noslēguma maksājums), maksājuma apmēru un pieprasīšanas laiku. Plānoto progresa pārskatu iesniegšanas grafiku izstrādā, ņemot vērā šo noteikumu </w:t>
      </w:r>
      <w:r w:rsidR="00000000" w:rsidRPr="00000000" w:rsidDel="00000000">
        <w:rPr>
          <w:rtl w:val="0"/>
        </w:rPr>
        <w:t xml:space="preserve">41.8.</w:t>
      </w:r>
      <w:r w:rsidR="00000000" w:rsidRPr="00000000" w:rsidDel="00000000">
        <w:rPr>
          <w:rtl w:val="0"/>
        </w:rPr>
        <w:t xml:space="preserve"> apakšpunktā</w:t>
      </w:r>
      <w:r w:rsidR="00000000" w:rsidRPr="00000000" w:rsidDel="00000000">
        <w:rPr>
          <w:rtl w:val="0"/>
        </w:rPr>
        <w:t xml:space="preserve"> minētos termiņus informācijas ievadei vadības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minētā līguma noslēgšanas finansējuma saņēmējs var pieprasīt aģentūrai veikt avansa maksājumu, starpposma maksājumus un noslēguma maksājumu, ievērojot šādu maksājumu pieprasīšanas un veikšanas kārtību un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pieprasa un veic šādā kārtībā: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avansa maksājuma pieprasījumu, kurā pamato avansa maksājuma nepieciešamību un apmēru. Avansa maksājumu var veikt vairākos maksājumos, nākamo avansa daļu izmaksājot pēc tam, kad iepriekšējā ir apgūta pilnā apmērā. Avansa maksājuma apmērs nevar pārsniegt 50 procentus no projektam pieejamā Atveseļošanas fonda finansējuma apmēra, un tas 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minētajam finansējuma saņēmējam ir jāizmanto sešu mēnešu laikā no tā saņemšanas dienas saimnieciskā gada ietvaros, bet 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minētajam finansējuma saņēmējam – sešu mēnešu laikā no tā saņemšanas dienas. Avansa izmantošanas termiņu var pagarināt, iesniedzot aģentūrai pamatojumu termiņa pagarināšanai;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38.1.1.</w:t>
      </w:r>
      <w:r w:rsidR="00000000" w:rsidRPr="00000000" w:rsidDel="00000000">
        <w:rPr>
          <w:rtl w:val="0"/>
        </w:rPr>
        <w:t xml:space="preserve"> apakšpunktā</w:t>
      </w:r>
      <w:r w:rsidR="00000000" w:rsidRPr="00000000" w:rsidDel="00000000">
        <w:rPr>
          <w:rtl w:val="0"/>
        </w:rPr>
        <w:t xml:space="preserve"> minēto avansa maksājuma pieprasījumu un, ja aģentūrai nav iebildumu par avansa maksājuma pamatojumu, veic avansa maksājumu;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pieprasa un veic šādā kārtībā: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starpposma maksājuma pieprasījumu, kurā pamato investīcijas otrās kārtas projektā faktiski veiktās izmaksas un starpposma maksājuma apmēru. Pieprasījumu starpposma maksājumam finansējuma saņēmējs var iesniegt arī laikposmā, kad finansējuma saņēmējs izmanto šo noteikumu </w:t>
      </w:r>
      <w:r w:rsidR="00000000" w:rsidRPr="00000000" w:rsidDel="00000000">
        <w:rPr>
          <w:rtl w:val="0"/>
        </w:rPr>
        <w:t xml:space="preserve">38.1.1.</w:t>
      </w:r>
      <w:r w:rsidR="00000000" w:rsidRPr="00000000" w:rsidDel="00000000">
        <w:rPr>
          <w:rtl w:val="0"/>
        </w:rPr>
        <w:t xml:space="preserve"> apakšpunktā</w:t>
      </w:r>
      <w:r w:rsidR="00000000" w:rsidRPr="00000000" w:rsidDel="00000000">
        <w:rPr>
          <w:rtl w:val="0"/>
        </w:rPr>
        <w:t xml:space="preserve"> minēto avansa maksājumu;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38.2.1.</w:t>
      </w:r>
      <w:r w:rsidR="00000000" w:rsidRPr="00000000" w:rsidDel="00000000">
        <w:rPr>
          <w:rtl w:val="0"/>
        </w:rPr>
        <w:t xml:space="preserve"> apakšpunktā</w:t>
      </w:r>
      <w:r w:rsidR="00000000" w:rsidRPr="00000000" w:rsidDel="00000000">
        <w:rPr>
          <w:rtl w:val="0"/>
        </w:rPr>
        <w:t xml:space="preserve"> minēto starpposma maksājuma pieprasījumu un, ja aģentūrai nav iebildumu par starpposma maksājuma pamatojumu, veic starpposma maksājumu;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pieprasa un veic šādā kārtībā: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noslēguma maksājuma pieprasījumu, kurā pamato investīcijas otrās kārtas projektā faktiski veiktās izmaksas, to apmēru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 tai skaitā ietverot šo noteikumu </w:t>
      </w:r>
      <w:r w:rsidR="00000000" w:rsidRPr="00000000" w:rsidDel="00000000">
        <w:rPr>
          <w:rtl w:val="0"/>
        </w:rPr>
        <w:t xml:space="preserve">8.2.</w:t>
      </w:r>
      <w:r w:rsidR="00000000" w:rsidRPr="00000000" w:rsidDel="00000000">
        <w:rPr>
          <w:rtl w:val="0"/>
        </w:rPr>
        <w:t xml:space="preserve"> 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38.3.1.</w:t>
      </w:r>
      <w:r w:rsidR="00000000" w:rsidRPr="00000000" w:rsidDel="00000000">
        <w:rPr>
          <w:rtl w:val="0"/>
        </w:rPr>
        <w:t xml:space="preserve"> apakšpunktā</w:t>
      </w:r>
      <w:r w:rsidR="00000000" w:rsidRPr="00000000" w:rsidDel="00000000">
        <w:rPr>
          <w:rtl w:val="0"/>
        </w:rPr>
        <w:t xml:space="preserve"> minēto noslēguma maksājuma pieprasījumu un, ja aģentūrai nav iebildumu par noslēguma maksājuma pamatojumu, veic noslēguma maksājumu;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aģentūra, veicot avansa un starpposma maksājumus finansējuma saņēmējam, nodrošina, ka avansa un starpposma maksājumos norādītā Atveseļošanas fonda finansējuma kopsumma nepārsniedz 90 procentus no projektam pieejamā Atveseļošanas fonda finansējuma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Ģimeniskai videi pietuvināta pakalpojuma sniegšanas ēkas plāno izveidot uz zemes īpašuma, kas ir finansējuma saņēmēja īpašumā vai uz kuru finansējuma saņēmējam Valsts vienotajā datorizētajā zemesgrāmatā ir nostiprinātas lietošanas tiesības uz termiņu, kas nav īsāks par 2031. gada 31. decembri.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minētās atbalstāmās darbības, finansējuma saņēmējs pats vai īstenojot iepirkumu līgumus, ievēro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31.4.</w:t>
      </w:r>
      <w:r w:rsidR="00000000" w:rsidRPr="00000000" w:rsidDel="00000000">
        <w:rPr>
          <w:rtl w:val="0"/>
        </w:rPr>
        <w:t xml:space="preserve"> apakšpunktā</w:t>
      </w:r>
      <w:r w:rsidR="00000000" w:rsidRPr="00000000" w:rsidDel="00000000">
        <w:rPr>
          <w:rtl w:val="0"/>
        </w:rPr>
        <w:t xml:space="preserve"> minētās atbalstāmās darbības īstenošanai izmanto investīcijas pirmās kārtas ietvaros izveidoto tipveida būvprojektu ģimeniskai videi pietuvinātā pakalpojuma izveidei un ievēro šo noteikumu </w:t>
      </w:r>
      <w:r w:rsidR="00000000" w:rsidRPr="00000000" w:rsidDel="00000000">
        <w:rPr>
          <w:rtl w:val="0"/>
        </w:rPr>
        <w:t xml:space="preserve">30.8.</w:t>
      </w:r>
      <w:r w:rsidR="00000000" w:rsidRPr="00000000" w:rsidDel="00000000">
        <w:rPr>
          <w:rtl w:val="0"/>
        </w:rPr>
        <w:t xml:space="preserve"> apakšpunktā</w:t>
      </w:r>
      <w:r w:rsidR="00000000" w:rsidRPr="00000000" w:rsidDel="00000000">
        <w:rPr>
          <w:rtl w:val="0"/>
        </w:rPr>
        <w:t xml:space="preserve"> minētos ģimeniskai videi pietuvinātu pakalpojumu nodrošināšanas principus;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neplāno fosilo energoresursu tehnoloģiju uzstādīšanu un, ciktāl tas ir attiecināms, 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31.4.</w:t>
      </w:r>
      <w:r w:rsidR="00000000" w:rsidRPr="00000000" w:rsidDel="00000000">
        <w:rPr>
          <w:rtl w:val="0"/>
        </w:rPr>
        <w:t xml:space="preserve"> apakšpunktā</w:t>
      </w:r>
      <w:r w:rsidR="00000000" w:rsidRPr="00000000" w:rsidDel="00000000">
        <w:rPr>
          <w:rtl w:val="0"/>
        </w:rPr>
        <w:t xml:space="preserve"> minēto atbalstāmo darbību īstenošanai tehniskās specifikācijas prasībās iekļauj informāciju, kas pamato, ka paredzētie risinājumi ir videi draudzīgi un energoefektīvi (dzīvojamai mājai jāatbilst gandrīz nulles enerģijas patēriņa prasībām) un atbalsta šādu horizontālā principa "nenodarīt būtisku kaitējumu" mērķu ievērošanu Eiropas Parlamenta un Padomes 2020. gada 18. jūnija Regulas (ES) Nr. 2020/852 par regulējuma izveidi ilgtspējīgu ieguldījumu veicināšanai un ar ko groza Regulu (ES) 2019/2088, 17. panta izpratnē: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pārmaiņu mazināšana;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spēja pielāgoties klimata pārmaiņām;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ilgtspējīga ūdens un jūras resursu izmantošana un aizsardzība;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pāreja uz aprites ekonomiku, ieskaitot atkritumu rašanās novēršanu un to reciklēšanu;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piesārņojuma novēršana un kontrole;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bioloģiskās daudzveidības un ekosistēmu aizsardzība un atjaunošana;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31.5.</w:t>
      </w:r>
      <w:r w:rsidR="00000000" w:rsidRPr="00000000" w:rsidDel="00000000">
        <w:rPr>
          <w:rtl w:val="0"/>
        </w:rPr>
        <w:t xml:space="preserve"> apakšpunktā</w:t>
      </w:r>
      <w:r w:rsidR="00000000" w:rsidRPr="00000000" w:rsidDel="00000000">
        <w:rPr>
          <w:rtl w:val="0"/>
        </w:rPr>
        <w:t xml:space="preserve"> minētās atbalstāmās darbības ietvaros var piesaistīt vides pieejamības ekspertus 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31.4.</w:t>
      </w:r>
      <w:r w:rsidR="00000000" w:rsidRPr="00000000" w:rsidDel="00000000">
        <w:rPr>
          <w:rtl w:val="0"/>
        </w:rPr>
        <w:t xml:space="preserve"> apakšpunktā minēto atbalstāmo darbību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31.4.</w:t>
      </w:r>
      <w:r w:rsidR="00000000" w:rsidRPr="00000000" w:rsidDel="00000000">
        <w:rPr>
          <w:rtl w:val="0"/>
        </w:rPr>
        <w:t xml:space="preserve"> apakšpunktā</w:t>
      </w:r>
      <w:r w:rsidR="00000000" w:rsidRPr="00000000" w:rsidDel="00000000">
        <w:rPr>
          <w:rtl w:val="0"/>
        </w:rPr>
        <w:t xml:space="preserve"> minētās atbalstāmās darbības īstenošanai iegādājas telpu aprīkošanai nepieciešamo materiāltehnisko nodrošinājumu, tai skaitā mēbeles, datorus, datora lietojumprogrammas, tehniskos palīglīdzekļus un citas nepieciešamās ierīces un materiālus, kā arī vismaz šo noteikumu 2. pielikumā minēto materiāltehnisko aprīkojumu, lai sniegtu pakalpojumu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mērķa grupas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31.6.</w:t>
      </w:r>
      <w:r w:rsidR="00000000" w:rsidRPr="00000000" w:rsidDel="00000000">
        <w:rPr>
          <w:rtl w:val="0"/>
        </w:rPr>
        <w:t xml:space="preserve"> apakšpunktā</w:t>
      </w:r>
      <w:r w:rsidR="00000000" w:rsidRPr="00000000" w:rsidDel="00000000">
        <w:rPr>
          <w:rtl w:val="0"/>
        </w:rPr>
        <w:t xml:space="preserve"> minētās atbalstāmās darbības īstenošanā nodrošina  informācijas un vides piekļūstamību, novērš atšķirīgas attieksmes risku personas vecuma, dzimuma, reliģiskās, politiskās vai citas pārliecības, seksuālās orientācijas, invaliditātes, rases vai etniskās piederības dēļ un ievēro vienlīdzīgu iespēju principu, kā arī nodrošina, ka tiks īstenoti pasākumi, kas sekmē darba un ģimenes dzīves saskaņošanu, paredzot attālināta darba un nepilna laika darba iespēju radīšanu vecākiem ar bērniem, kā arī sievietēm un vīriešiem nodrošina vienādu samaksu par vienādas vērtības darbu.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Īstenojot investīcijas otrās kārtas projektu,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novērš dubultfinansēšanas risku un nodrošina, ka projekta ietvaros atbalstāmās darbības un to izmaksas nav finansētas vai līdzfinansētas, kā arī tās nav plānots finansēt vai līdzfinansēt no citiem valsts, pašvaldības vai ārvalstu finanšu palīdzības instrumentiem;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piesaistot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minēto atbalstāmo darbību īstenošanai nepieciešamo personālu vai īstenojot iepirkumus, nodrošina, ka projekta īstenošanas laikā tiek ievēroti interešu konflikta, korupcijas un krāpšanas novēršanas nosacījumi, vismaz paredzot, ka projekta vadībā un īstenošanā iesaistītais personāls un iepirkumu līgumu izpildītāji ir: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informēti par korupcijas un interešu konflikta novēršanas jautājumiem un krāpšanas pazīmēm;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parakstījuši apliecinājumus par interešu konflikta neesību un par pienākumu ziņot par konstatētajiem vai iespējamajiem trūkumiem un pārkāpumiem;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informēti par iespēju ziņot par pārkāpumiem un par ziņotāju aizsardzību atbilstoši Trauksmes celšanas likumam;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informē aģentūru un ministriju par problēmām (tai skaitā konstatētiem vai iespējamiem trūkumiem un pārkāpumiem) projekta īstenošanā, kuras saistītas ar normatīvajos aktos par Atveseļošanas fonda īstenošanas un uzraudzības kārtību noteikto finansējuma saņēmēja pienākuma izpildi un Atveseļošanas fonda plāna prasību ievērošanu un riskiem, kuri apdraud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atbilstoši normatīvajiem aktiem par Atveseļošanas fonda plāna īstenošanas un uzraudzības kārtību ir konstatēti trūkumi un pārkāpumi projekta īstenošanā, atmaksā saņemto avansa, starpposma vai noslēguma maksājumu;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iepirkumus veic atbilstoši normatīvajiem aktiem publisko iepirkumu jomā, īstenojot atklātas, pārredzamas, nediskriminējošas un konkurenci nodrošinošas iepirkuma procedūras, tai skaitā ievērojot normatīvajā aktā par publisko būvdarbu līgumos obligāti ietveramajiem noteikumiem un to saturu noteiktās prasības. Ja nepieciešams, 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minētie finansējuma saņēmēji var savstarpēji vienoties par centralizēta publiskā iepirkuma organizēšanu;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minētais finansējuma saņēmējs ievēro Ministru kabineta 2017. gada 28. februāra noteikumos </w:t>
      </w:r>
      <w:r w:rsidR="00000000" w:rsidRPr="00000000" w:rsidDel="00000000">
        <w:rPr>
          <w:rtl w:val="0"/>
        </w:rPr>
        <w:t xml:space="preserve">Nr. 104 </w:t>
      </w:r>
      <w:r w:rsidR="00000000" w:rsidRPr="00000000" w:rsidDel="00000000">
        <w:rPr>
          <w:rtl w:val="0"/>
        </w:rPr>
        <w:t xml:space="preserve">"</w:t>
      </w:r>
      <w:r w:rsidR="00000000" w:rsidRPr="00000000" w:rsidDel="00000000">
        <w:rPr>
          <w:rtl w:val="0"/>
        </w:rPr>
        <w:t xml:space="preserve">Noteikumi par iepirkuma procedūru un tās piemērošanas kārtību pasūtītāja finansētiem projektiem</w:t>
      </w:r>
      <w:r w:rsidR="00000000" w:rsidRPr="00000000" w:rsidDel="00000000">
        <w:rPr>
          <w:rtl w:val="0"/>
        </w:rPr>
        <w:t xml:space="preserve">" (turpmāk – MK noteikumi Nr. 104) noteikto līguma slēgšanas tiesību piešķiršanas procedūru (ja attiecināms) un ierobežojumus šādu līgumu slēgšanai, tai skaitā aizpilda un apstiprina MK noteikumu Nr. 104 1. pielikumā noteikto apliecinājumu par interešu konflikta neesību un pievieno to iepirkumu līgumu slēgšanas dokumentācijai;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vien ir iespējams, organizējot iepirkuma procedūru, ievēro zaļā iepirkuma un sociāli atbildīgā iepirkuma principus;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atsevišķu grāmatvedības uzskaiti par projekta izdevumiem saskaņā ar grāmatvedību regulējošo normatīvo aktu prasībām un vispārpieņemtiem grāmatvedības kārtošanas principiem, piemēram, izveidojot atbilstošu uzskaites kodu sistēmu par projekta īstenošanai veiktajiem darījumiem;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nodrošinot normatīvajos aktos par Atveseļošanas fonda plāna īstenošanas un uzraudzības kārtību noteiktā pienākuma izpildi attiecībā uz informācijas ievadi vadības informācijas sistēmā Atveseļošanas fonda plāna īstenošanas progresa pusgada ziņojuma un maksājuma pieprasījuma sagatavošanai, datus uzkrāj un ievada līdz kārtējā gada 10. janvārim (ar statusu uz iepriekšējā gada 31. decembri) un 10. jūlijam (ar statusu uz kārtējā gada 30. jūniju);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ar projekta īstenošanu saistītās dokumentācijas uzglabāšanu līdz 2031. gada 31. decembrim;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ka normatīvajos aktos par Atveseļošanas fonda plāna īstenošanas un uzraudzības kārtību un Eiropas Parlamenta un Padomes 2021. gada 12. februāra Regulas (ES) Nr. 2021/241, ar ko izveido Atveseļošanas un noturības mehānismu, 22. panta 2. punkta "e" apakšpunktā minētajām institūcijām projekta īstenošanas laikā un visā šo noteikumu </w:t>
      </w:r>
      <w:r w:rsidR="00000000" w:rsidRPr="00000000" w:rsidDel="00000000">
        <w:rPr>
          <w:rtl w:val="0"/>
        </w:rPr>
        <w:t xml:space="preserve">41.9.</w:t>
      </w:r>
      <w:r w:rsidR="00000000" w:rsidRPr="00000000" w:rsidDel="00000000">
        <w:rPr>
          <w:rtl w:val="0"/>
        </w:rPr>
        <w:t xml:space="preserve"> apakšpunktā</w:t>
      </w:r>
      <w:r w:rsidR="00000000" w:rsidRPr="00000000" w:rsidDel="00000000">
        <w:rPr>
          <w:rtl w:val="0"/>
        </w:rPr>
        <w:t xml:space="preserve"> noteiktajā dokumentu glabāšanas termiņā ir pieejami visi ar projekta īstenošanu saistītie dokumentu oriģināli un grāmatvedības sistēmas dati. Dokumentu un datu pieejamību nodrošina vadības informācijas sistēmā vai pie finansējuma saņēmēja. Ja dokumenti un dati ir pieejami tikai pie finansējuma saņēmēja, nodrošina to iesniegšanu institūcijai, kas atbilstoši normatīvajos aktos par  Atveseļošanas fonda plāna īstenošanas un uzraudzības kārtību noteiktajai kompetencei to pieprasa;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ir uzskatāms par pārzini Eiropas Parlamenta un Padomes 2016. gada 27. aprīļa Regulas (ES) Nr. 2016/679 par fizisku personu aizsardzību attiecībā uz personas datu apstrādi un šādu datu brīvu apriti un ar ko atceļ Direktīvu 95/46/EK, 4. panta 7. punkta izpratnē attiecībā uz tādu personas datu apstrādi vadības informācijas sistēmā, kas nepieciešami, lai īstenotu projektu, kā arī sagatavotu un iesniegtu šo noteikumu </w:t>
      </w:r>
      <w:r w:rsidR="00000000" w:rsidRPr="00000000" w:rsidDel="00000000">
        <w:rPr>
          <w:rtl w:val="0"/>
        </w:rPr>
        <w:t xml:space="preserve">41.8.</w:t>
      </w:r>
      <w:r w:rsidR="00000000" w:rsidRPr="00000000" w:rsidDel="00000000">
        <w:rPr>
          <w:rtl w:val="0"/>
        </w:rPr>
        <w:t xml:space="preserve"> apakšpunktā</w:t>
      </w:r>
      <w:r w:rsidR="00000000" w:rsidRPr="00000000" w:rsidDel="00000000">
        <w:rPr>
          <w:rtl w:val="0"/>
        </w:rPr>
        <w:t xml:space="preserve">  minēto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ka projekta ietvaros izveidotās ēkas vismaz piecus gadus pēc noslēguma maksājuma saņemšanas tiks izmantotas, lai sniegtu pakalpojumu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mērķa grupas personām, kurām ilgstošas sociālās aprūpes un sociālās rehabilitācijas institūcijas pakalpojums ir piešķirts ar sociālā dienesta lēmumu;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minētais finansējuma saņēmējs var nodot projekta ietvaros izveidotās ēkas šo noteikumu </w:t>
      </w:r>
      <w:r w:rsidR="00000000" w:rsidRPr="00000000" w:rsidDel="00000000">
        <w:rPr>
          <w:rtl w:val="0"/>
        </w:rPr>
        <w:t xml:space="preserve">41.12.</w:t>
      </w:r>
      <w:r w:rsidR="00000000" w:rsidRPr="00000000" w:rsidDel="00000000">
        <w:rPr>
          <w:rtl w:val="0"/>
        </w:rPr>
        <w:t xml:space="preserve"> apakšpunktā</w:t>
      </w:r>
      <w:r w:rsidR="00000000" w:rsidRPr="00000000" w:rsidDel="00000000">
        <w:rPr>
          <w:rtl w:val="0"/>
        </w:rPr>
        <w:t xml:space="preserve"> minētajā laikposmā un ieguldījumu amortizācijas periodā bezatlīdzības lietošanā sociālo pakalpojumu sniedzējam, ar kuru pašvaldība ir noslēgusi deleģēšanas līgumu vai iepirkumu līgumu par ģimeniskai videi pietuvināta pakalpojuma sniegšanu mērķa grupas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nodrošina informācijas un publicitātes pasākumus saskaņā ar Eiropas Parlamenta un Padomes 2021. gada 12. februāra Regulas (ES) Nr. </w:t>
      </w:r>
      <w:r w:rsidR="00000000" w:rsidRPr="00000000" w:rsidDel="00000000">
        <w:rPr>
          <w:rtl w:val="0"/>
        </w:rPr>
        <w:t xml:space="preserve">2021/241</w:t>
      </w:r>
      <w:r w:rsidR="00000000" w:rsidRPr="00000000" w:rsidDel="00000000">
        <w:rPr>
          <w:rtl w:val="0"/>
        </w:rPr>
        <w:t xml:space="preserve">, ar ko izveido Atveseļošanas un noturības mehānismu, 34. panta 2. punktu un 2021. gada 3. septembrī parakstītā Komisijas un Latvijas Republikas Atveseļošanas un noturības mehānisma finansēšanas nolīguma 10. 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ģimeniskai videi pietuvinātu pakalpojumu infrastruktūras izveidošanas nodrošina pakalpojuma reģistrēšanu Sociālo pakalpojumu sniedzēju reģistrā atbilstoši </w:t>
      </w:r>
      <w:r w:rsidR="00000000" w:rsidRPr="00000000" w:rsidDel="00000000">
        <w:rPr>
          <w:rtl w:val="0"/>
        </w:rPr>
        <w:t xml:space="preserve">normatīvajiem aktiem par sociālo pakalpojumu sniedzēju reģistrēšanu</w:t>
      </w:r>
      <w:r w:rsidR="00000000" w:rsidRPr="00000000" w:rsidDel="00000000">
        <w:rPr>
          <w:rtl w:val="0"/>
        </w:rPr>
        <w:t xml:space="preserve">, bet ne vēlāk kā līdz 2027. gada 30. jūnijam;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nekavējoties informē aģentūru, ja šo noteikumu </w:t>
      </w:r>
      <w:r w:rsidR="00000000" w:rsidRPr="00000000" w:rsidDel="00000000">
        <w:rPr>
          <w:rtl w:val="0"/>
        </w:rPr>
        <w:t xml:space="preserve">41.12.</w:t>
      </w:r>
      <w:r w:rsidR="00000000" w:rsidRPr="00000000" w:rsidDel="00000000">
        <w:rPr>
          <w:rtl w:val="0"/>
        </w:rPr>
        <w:t xml:space="preserve"> apakšpunktā</w:t>
      </w:r>
      <w:r w:rsidR="00000000" w:rsidRPr="00000000" w:rsidDel="00000000">
        <w:rPr>
          <w:rtl w:val="0"/>
        </w:rPr>
        <w:t xml:space="preserve"> minētajā laikposmā un ieguldījumu amortizācijas periodā ir paredzēts mainīt infrastruktūras izmantošanas nosacījumus tā, ka projekta darbības būs saistītas saistīts ar saimniecisko darbību, un tādējādi sniegtais atbalsts būs kvalificējams kā komercdarbības atbalsts. Ja šo noteikumu </w:t>
      </w:r>
      <w:r w:rsidR="00000000" w:rsidRPr="00000000" w:rsidDel="00000000">
        <w:rPr>
          <w:rtl w:val="0"/>
        </w:rPr>
        <w:t xml:space="preserve">41.12.</w:t>
      </w:r>
      <w:r w:rsidR="00000000" w:rsidRPr="00000000" w:rsidDel="00000000">
        <w:rPr>
          <w:rtl w:val="0"/>
        </w:rPr>
        <w:t xml:space="preserve"> apakšpunktā</w:t>
      </w:r>
      <w:r w:rsidR="00000000" w:rsidRPr="00000000" w:rsidDel="00000000">
        <w:rPr>
          <w:rtl w:val="0"/>
        </w:rPr>
        <w:t xml:space="preserve"> minētajā laikposmā un ieguldījumu amortizācijas periodā ģimeniskai videi pietuvinātu pakalpojumu infrastruktūra kļūst par tādu, kas ir saistīta ar saimniecisko darbību, kurai sniegtais atbalsts būtu kvalificējams kā komercdarbības atbalsts, vai ja tiek pārkāptas šajos noteikumos noteiktās komercdarbības atbalsta piešķiršanas prasības vispārējas tautsaimnieciskas nozīmes pakalpojuma sniegšanai, finansējuma saņēmējs no līdzekļiem, kas ir brīvi no komercdarbības atbalsta, atmaksā aģentūrai saņemto nelikumīgo atbalstu saskaņā ar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41.12.</w:t>
      </w:r>
      <w:r w:rsidR="00000000" w:rsidRPr="00000000" w:rsidDel="00000000">
        <w:rPr>
          <w:rtl w:val="0"/>
        </w:rPr>
        <w:t xml:space="preserve"> apakšpunktā</w:t>
      </w:r>
      <w:r w:rsidR="00000000" w:rsidRPr="00000000" w:rsidDel="00000000">
        <w:rPr>
          <w:rtl w:val="0"/>
        </w:rPr>
        <w:t xml:space="preserve"> minētajā laikposmā un ieguldījumu amortizācijas periodā tiek veikta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minētā papildinošā saimnieciskā darbība, finansējuma saņēmējs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 līgumā noteiktajā kārtībā sagatavo un iesniedz aģentūrai pārskatu par papildinošās saimnieciskās darbības apjomu no infrastruktūras kopējās gada jaudas (platības vai finanšu izteiksmē) un nodrošina aprēķinus pamatojošo dokumentu pieejamību papildinošās saimnieciskās darbības uzraudzībai. Ja ir pārsniegts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minētais papildinošās saimnieciskās darbības ierobežojums, finansējuma saņēmējs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 līgumā noteiktajā kārtībā iesniedz ziņojumu aģentūrai par konstatēto pārkāpumu un saskaņā ar </w:t>
      </w:r>
      <w:r w:rsidR="00000000" w:rsidRPr="00000000" w:rsidDel="00000000">
        <w:rPr>
          <w:rtl w:val="0"/>
        </w:rPr>
        <w:t xml:space="preserve">Komercdarbības atbalsta kontroles likuma</w:t>
      </w:r>
      <w:r w:rsidR="00000000" w:rsidRPr="00000000" w:rsidDel="00000000">
        <w:rPr>
          <w:rtl w:val="0"/>
        </w:rPr>
        <w:t xml:space="preserve"> IV vai V nodaļas nosacījumiem atmaksā aģentūrai saņemto nelikumīgo atbalstu par attiecīgo gadu, kurā konstatēts pārkāpums, no līdzekļiem, kas ir brīvi no komercdarbības atbalsta.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09.07.2024. noteikumiem Nr. 451)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41.12.</w:t>
      </w:r>
      <w:r w:rsidR="00000000" w:rsidRPr="00000000" w:rsidDel="00000000">
        <w:rPr>
          <w:rtl w:val="0"/>
        </w:rPr>
        <w:t xml:space="preserve"> apakšpunktā</w:t>
      </w:r>
      <w:r w:rsidR="00000000" w:rsidRPr="00000000" w:rsidDel="00000000">
        <w:rPr>
          <w:rtl w:val="0"/>
        </w:rPr>
        <w:t xml:space="preserve"> minētajā laikposmā un ieguldījumu amortizācijas periodā finansējuma saņēmējs nodrošina atsevišķu grāmatvedības uzskaiti un izsekojamību, nodalot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minētajām personām sniegto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41.12.</w:t>
      </w:r>
      <w:r w:rsidR="00000000" w:rsidRPr="00000000" w:rsidDel="00000000">
        <w:rPr>
          <w:rtl w:val="0"/>
        </w:rPr>
        <w:t xml:space="preserve"> apakšpunktā</w:t>
      </w:r>
      <w:r w:rsidR="00000000" w:rsidRPr="00000000" w:rsidDel="00000000">
        <w:rPr>
          <w:rtl w:val="0"/>
        </w:rPr>
        <w:t xml:space="preserve"> minētajā laikposmā un ieguldījumu amortizācijas periodā finansējuma saņēmējs vienlaikus ar ģimeniskai videi pietuvinātu pakalpojumu sniegšanu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minētajām mērķa grupas personām var: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papildinošo saimniecisko darbību, t. i., veikt darbības, kas ir tieši saistītas ar ēkas ekspluatāciju un tai nepieciešamas vai nesaraujami saistītas ar tās galveno ar saimniecisko darbību nesaistīto izmantojumu, patērējot tādu pašu resursu, piemēram, materiālus, aprīkojumu, darbaspēku, kā ar saimniecisko darbību nesaistītajām darbībām, kopumā nepārsniedzot 20 procentus no infrastruktūras kopējās gada jaudas (platības vai finanšu izteiksmē);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papildinošas saimnieciskas darbības ietvaros sniegt ģimeniskai videi pietuvinātu pakalpojumu pensijas vecuma personām, kuras ilgstošas sociālās aprūpes un sociālās rehabilitācijas institūcijas pakalpojumu saņem ar sociālā dienesta lēmumu par šā pakalpojuma piešķiršanu vai bez šāda lēmuma un kuras pašas vai viņu apgādnieki pilnā apmērā sedz pakalpojuma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īstenojot investīcijas otrās kārtas projektu, ir nepieciešami grozījumi projektā, plānotajā progresa pārskatu iesniegšanas grafikā vai iepirkumu plānā, tos izdara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 aktualizētu projektu, plānoto progresa pārskatu grafiku vai precizētu plānoto iepirkumu plānu;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iesniegto projekta grozījumu lietderību, pamatotību un nepieciešamību, bet plānoto progresa pārskatu iesniegšanas grafika izmaiņas pieņem zināšanai vai informē finansējuma saņēmēju par nepieciešamajiem precizējumiem, nosakot arī termiņu precizējumu iesniegšanai;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izskatot  plānotos grozījumus projektā, aģentūrai ir tiesības konsultēties ar ministriju par šajos noteikumos ietverto nosacījumu piemērošanu. Ministrija uz aģentūras konsultācijas pieprasījumu atbildi sniedz 10 darbdienu laikā, attiecīgi par šo termiņu tiek pagarināts projektu grozījumu priekšlikuma izskatīšanas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aģentūra noraida investīcijas otrās kārtas projekta grozījumu priekšlikumu, tā norāda atteikuma pamatojumu un, ja nepieciešams, informāciju par veicamajiem precizējumiem un atkārtota projektu grozījumu priekšlikuma iesniegšanas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aģentūra sagatavo atbilstošus grozījumus līgumā.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uzraudzību nodrošina aģentūra sadarbībā ar normatīvajos aktos par Atveseļošanas fonda plāna īstenošanas un uzraudzības kārtību minētajām institūcijām, kuras atbilstoši kompetencei veic vismaz šādas pārbaudes: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novēršanas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riska novēršanas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sasniegto mērķrādītāju un tā pamatojošās dokumentācijas atbilstības pārbaudi, tai skaitā ietverot datu ticamības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Papildus aģentūra: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minētās informācijas apkopošanu un iesniegšanu Atveseļošanas fonda plāna īstenošanas progresa pusgada ziņojuma un maksājuma pieprasījuma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ministriju par projektā identificētajām problēmām (tai skaitā par konstatētiem vai iespējamiem trūkumiem un pārkāpumiem) saistībā ar finansējuma saņēmēja spēju pildīt pienākumus, kas noteikti šajos noteikumos un normatīvajos aktos par Atveseļošanas fonda plāna īstenošanu un uzraudzības kārtību, un riskiem, kas apdraud šo noteikumu </w:t>
      </w:r>
      <w:r w:rsidR="00000000" w:rsidRPr="00000000" w:rsidDel="00000000">
        <w:rPr>
          <w:rtl w:val="0"/>
        </w:rPr>
        <w:t xml:space="preserve">7.</w:t>
      </w:r>
      <w:r w:rsidR="00000000" w:rsidRPr="00000000" w:rsidDel="00000000">
        <w:rPr>
          <w:rtl w:val="0"/>
        </w:rPr>
        <w:t xml:space="preserve"> punktā minēto mērķrādītāju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uzskatāma par pārzini Eiropas Parlamenta un Padomes 2016. gada 27. aprīļa Regulas (ES) Nr. 2016/679 par fizisku personu aizsardzību attiecībā uz personas datu apstrādi un šādu datu brīvu apriti un ar ko atceļ Direktīvu </w:t>
      </w:r>
      <w:r w:rsidR="00000000" w:rsidRPr="00000000" w:rsidDel="00000000">
        <w:rPr>
          <w:rtl w:val="0"/>
        </w:rPr>
        <w:t xml:space="preserve">95/46/EK</w:t>
      </w:r>
      <w:r w:rsidR="00000000" w:rsidRPr="00000000" w:rsidDel="00000000">
        <w:rPr>
          <w:rtl w:val="0"/>
        </w:rPr>
        <w:t xml:space="preserve">, 4. panta 7. punkta izpratnē attiecībā uz tādu personas datu apstrādi, kas nepieciešami normatīvajos aktos par Eiropas Savienības Atveseļošanas un noturības mehānisma plāna īstenošanas un uzraudzības kārtību noteikto funkciju izpildei;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41.12.</w:t>
      </w:r>
      <w:r w:rsidR="00000000" w:rsidRPr="00000000" w:rsidDel="00000000">
        <w:rPr>
          <w:rtl w:val="0"/>
        </w:rPr>
        <w:t xml:space="preserve"> apakšpunktā</w:t>
      </w:r>
      <w:r w:rsidR="00000000" w:rsidRPr="00000000" w:rsidDel="00000000">
        <w:rPr>
          <w:rtl w:val="0"/>
        </w:rPr>
        <w:t xml:space="preserve"> minētajā laikposmā un ieguldījumu amortizācijas periodā uzrauga, vai finansējuma saņēmēja īstenotā papildinošā saimnieciskā darbība nepārsniedz 20 procentus no infrastruktūras kopējās gada jaudas (platības vai finanšu izteiksmē).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09.07.2024. noteikumiem Nr. 451)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Ministrija: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minēto projektu iesniegumu vērtēšanas atbilstības un kvalitātes kritēriju piemērošanas skaidrojumus un iesniedz tos aģentūrai iekļaušanai projektu iesniegumu atlases nolikumā;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nosūta aģentūrai metodiskās norādes finansējuma saņēmējam par pārskata sagatavošanu šo noteikumu </w:t>
      </w:r>
      <w:r w:rsidR="00000000" w:rsidRPr="00000000" w:rsidDel="00000000">
        <w:rPr>
          <w:rtl w:val="0"/>
        </w:rPr>
        <w:t xml:space="preserve">8.2.2.</w:t>
      </w:r>
      <w:r w:rsidR="00000000" w:rsidRPr="00000000" w:rsidDel="00000000">
        <w:rPr>
          <w:rtl w:val="0"/>
        </w:rPr>
        <w:t xml:space="preserve"> apakšpunktā</w:t>
      </w:r>
      <w:r w:rsidR="00000000" w:rsidRPr="00000000" w:rsidDel="00000000">
        <w:rPr>
          <w:rtl w:val="0"/>
        </w:rPr>
        <w:t xml:space="preserve">  minētā mērķrādītāja sasniegšanas pamatošanai;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nepieciešamības, bet ne retāk kā reizi pusgadā organizē investīcijas otrās kārtas projektu ieviešanas progresa sanāksmes, pieaicinot aģentūru;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 Finanšu ministriju kā Atveseļošanas fonda plāna koordinatori un, ja nepieciešams, Ministru kabinetu, ja ministrija investīcijas otrās kārtas projektu uzraudzības ietvaros ir konstatējusi vai ir saņēmusi informāciju no aģentūras, Iepirkumu uzraudzības biroja, Finanšu ministrijas kā Atveseļošanas fonda plāna revīzijas iestādes, Eiropas Komisijas, citām kontrolējošām iestādēm vai finansējuma saņēmēja par konstatētajiem trūkumiem un pārkāpumiem saistībā ar Atveseļošanas fonda plāna prasību ievērošanu un riskiem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mērķrādītāju sasniegšanai, sniedzot detalizētu aprakstu par radušos situāciju, pārkāpuma vai trūkuma rašanās cēloņiem, finansiālo ietekmi, kā arī sniedzot risinājumu par veicamajām darbībām un uzlabojumiem, lai novērstu konstatētās nepilnības.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Aģentūrai ir tiesības vienpusēji atkāpties no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minētā līguma jebkurā no šādiem gadījumiem: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neievēro līguma nosacījumus, tai skaitā investīcijas otrās kārtas projekta īstenošana nenotiek atbilstoši projektā noteiktajiem termiņiem vai ir iestājušies citi apstākļi, kas negatīvi ietekmē vai var ietekmēt šo noteikumu </w:t>
      </w:r>
      <w:r w:rsidR="00000000" w:rsidRPr="00000000" w:rsidDel="00000000">
        <w:rPr>
          <w:rtl w:val="0"/>
        </w:rPr>
        <w:t xml:space="preserve">7.2.</w:t>
      </w:r>
      <w:r w:rsidR="00000000" w:rsidRPr="00000000" w:rsidDel="00000000">
        <w:rPr>
          <w:rtl w:val="0"/>
        </w:rPr>
        <w:t xml:space="preserve"> apakšpunktā minēto mērķrādītāju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investīcijas otrās kārtas projekta īstenošanas laikā ir apzināti sniedzis nepatiesu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īstenotajā investīcijas otrās kārtas projektā ir konstatēti gadījumi vai pazīmes, kas saistītas ar interešu konfliktu, korupciju, krāpšanu un dubultā finansējuma pārkāpumu pieļaušanu;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līgumā noteiktajos gadījumos.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Investīcijas otrās kārtas projekta īstenošanas vieta ir Latvijas Republikas teritorija.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Investīcijas otrās kārtas projektu īsteno līdz 2026. gada 30. jūnijam.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09.07.2024. noteikumu Nr. 451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Vispārējas tautsaimnieciskas nozīmes pakalpojuma piešķiršanā un uzraudzībā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ģimeniskai videi pietuvinātu pakalpojumu sniedz pašvaldība vai tās iestāde, pašvaldība pieņem pārvaldes lēmumu, kurā pilnvaro finansējuma saņēmēju sniegt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vispārējas tautsaimnieciskas nozīmes pakalpojumu. Ja ģimeniskai videi pietuvinātu pakalpojumu sniedz pašvaldības kapitālsabiedrība vai šo noteikumu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minētais finansējuma saņēmējs, tas noslēdz ar pašvaldību pilnvarojuma līgumu, ar kuru tam uztic sniegt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vispārējas tautsaimnieciskas nozīmes pakalpojumu. Pārvaldes lēmuma vai pilnvarojuma līguma īstenošanu investīcijas otrās kārtas ietvaros nodrošina ar aģentūras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minētajā pārvaldes lēmumā vai pilnvarojuma līgumā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sniedzamo ģimeniskai videi pietuvināto pakalpojumu;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prasību ģimeniskai videi pietuvinātam pakalpojuma sniedzējam uzturēt un atjaunot nepieciešamo tehnisko aprīkojumu, lai nodrošinātu šo noteikumu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minētā pakalpojuma izpildi;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ģimeniskai videi pietuvinātu sociālo pakalpojumu sniegšanas laikposmu, kas nav ilgāks par 10 gadiem;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ģimeniskai videi pietuvināto sociālo pakalpojumu sniegšanas teritoriju;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sociālo pakalpojumu sniedzējam piešķirto ekskluzīvo vai īpašo tiesību būtību;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iespējas saņemt atlīdzības jeb kompensācijas maksājumus, kā arī kompensācijas aprēķināšanas, kontroles un pārskatīšanas nosacījumus un kompensācijas pārmaksas novēršanas un atmaksāšanas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Eiropas Komisijas 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komercdarbības atbalsta saņēmējs un pašvaldība jeb vispārējas tautsaimnieciskas nozīmes pakalpojuma pilnvarojuma uzlicējs nodrošina, ka pilnvarojuma periodā un vismaz 10 gadus pēc pilnvarojuma perioda beigām tiek saglabāta un nodrošināta pieejamība projekta izmaksu pamatojošiem dokumentiem, ar projektu saistītajai dokumentācijai un citai informācijai, kas ir nepieciešama, lai noteiktu, vai piešķirtais atbalsts ir atbilstošs komercdarbības atbalsta piešķiršanas nosacījumiem vispārējas tautsaimniecības nozīmes pakalpojumu 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finansējuma saņēmējs, kas sniedz vispārējas tautsaimniecības pakalpojumu, iesniedz aģentūrā vispārējas tautsaimnieciskas nozīmes pakalpojuma pilnvarojuma uzlicēja apliecinājumu par šo noteikumu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2.6.</w:t>
      </w:r>
      <w:r w:rsidR="00000000" w:rsidRPr="00000000" w:rsidDel="00000000">
        <w:rPr>
          <w:rtl w:val="0"/>
        </w:rPr>
        <w:t xml:space="preserve"> apakšpunktā</w:t>
      </w:r>
      <w:r w:rsidR="00000000" w:rsidRPr="00000000" w:rsidDel="00000000">
        <w:rPr>
          <w:rtl w:val="0"/>
        </w:rPr>
        <w:t xml:space="preserve"> minēto maksājumu kontroli un pārskatīšanu, kā arī to pārmaksas novēršanu un atgūšanu ne retāk kā reizi trijos gados un šo noteikumu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minētā pārvaldes lēmuma vai pilnvarojuma līguma darbības perioda beigās.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09.07.2024. noteikumu Nr. 451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09.07.2024. noteikumiem Nr. 451)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investīcijas otrās kārtas pirmās projektu iesniegumu atlases finansējuma saņēmējs paredz veidot ģimeniskai videi pietuvinātu infrastruktūru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minētajai mērķa grupai, tas līdz 2026. gada 30. jūnijam iesniedz aģentūrā šo noteikumu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 pārvaldes lēmumu vai pilnvarojuma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451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24-TA-2044</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24-TA-2044</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noteikumu_konsolidētā_versija_24-TA-2044.docx</dc:title>
</cp:coreProperties>
</file>

<file path=docProps/custom.xml><?xml version="1.0" encoding="utf-8"?>
<Properties xmlns="http://schemas.openxmlformats.org/officeDocument/2006/custom-properties" xmlns:vt="http://schemas.openxmlformats.org/officeDocument/2006/docPropsVTypes"/>
</file>