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3. jūnijā (prot. Nr. 21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civilās aizsardzības mērķiem pielāgojamajiem un aprīkojamajiem objektiem (patvertnēm)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Noteikt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ietvaros (turpmāk – pasākums) prioritāri atbalstāmos civilās aizsardzības mērķiem pielāgojamos un aprīkojamos objektus (patvertnes), paredzētos projektu iesniedzējus – finansējuma saņēmējus, tiem pieejamo Eiropas Reģionālās attīstības fonda (turpmāk – ERAF) finansējuma apmēru un pasākuma iznākuma rādītāja minimālās sasniedzamās vērtības (1. pielikums).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 </w:t>
      </w:r>
      <w:r w:rsidR="00000000" w:rsidRPr="00000000" w:rsidDel="00000000">
        <w:rPr>
          <w:rtl w:val="0"/>
        </w:rPr>
        <w:t xml:space="preserve">Noteikt papildu objektus (2. pielikums), kas pasākuma ietvaros var tikt pielāgoti un aprīkoti civilās aizsardzības mērķiem, nepārsniedzot ERAF finansējumu 38 941 </w:t>
      </w:r>
      <w:r w:rsidR="00000000" w:rsidRPr="00000000" w:rsidDel="00000000">
        <w:rPr>
          <w:i w:val="1"/>
          <w:rtl w:val="0"/>
        </w:rPr>
        <w:t xml:space="preserve">euro </w:t>
      </w:r>
      <w:r w:rsidR="00000000" w:rsidRPr="00000000" w:rsidDel="00000000">
        <w:rPr>
          <w:rtl w:val="0"/>
        </w:rPr>
        <w:t xml:space="preserve">apmērā par katru papildu objektu, ja pasākuma ietvaros ir pieejams papildu ERAF finansējums. ERAF finansējuma ietaupījumu, ja tāds rodas pēc šā rīkojuma 1. pielikumā minēto objektu aprīkošanas un pielāgošanas projektu īstenošanas, attiecīgais projekta iesniedzējs var izmantot, lai pielāgotu un aprīkotu jebkuru tā objektu, kas minēts šā rīkojuma 2. pielikumā.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25-TA-659</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25-TA-659</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rīkojuma_projekts_25-TA-659.docx</dc:title>
</cp:coreProperties>
</file>

<file path=docProps/custom.xml><?xml version="1.0" encoding="utf-8"?>
<Properties xmlns="http://schemas.openxmlformats.org/officeDocument/2006/custom-properties" xmlns:vt="http://schemas.openxmlformats.org/officeDocument/2006/docPropsVTypes"/>
</file>