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sociālo uzņēmumu darbību un attīstību līdz 2025.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25-TA-920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