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Stāva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1.Stāva plānā attēlo: 1.1.sienas un tajās esošās ailas, sienu izvirzījumus, nišas, savietojot  (projicējot) tās ar grīdas līmeni; 1.2.lodžijas, balkonus, terases, lieveņus; 1.3.stacionāras mūrētas krāsnis, kamīnus, pavardus, sildmūrus, apkures  katlus un kolonnas (grīdas līmenī); 1.4.no stāva augšupejošo kāpņu laida kontūras, pakāpienus, pandusus un  eskalatorus, izņemot to kāpņu laida daļu, zem kuras atrodas atsevišķa iekštelpa  ar telpas lielāko augstumu virs 1,6 m, ar bultu norādot augšupejošo virzienu; 1.5.no stāva lejupejošu kāpņu laida kontūras un pakāpienus, pandusus un  eskalatorus, norādot to augšupejošo virzienu (no apakšējā stāva grīdas līdz  konkrētā stāva grīdai, bet neattēlojot to daļu, kas ir zem konkrētā stāva  grīdas); 1.6.robežas starp telpas daļām, kuru augstums ir lielāks vai mazāks par  1,6m; 1.7.robežas starp telpas daļām grīdas līmenī ar atšķirīgu augstumu (no  0,15m), norādot augšupejošo virzienu; 1.8.lūku, jumta logu, izlietņu, dušu, vannu, podu, bidē un pisuāru atrašanās  vietas, savietojot (projicējot) tās ar grīdas līmeni. 2.Stāva plānā ieraksta: 2.1.sienu garumus (noapaļotus līdz 0,01 m). Sienu garumu var nenorādīt, ja  tas neatšķiras no pretējās sienas vairāk par 0,02 m vai tas ir iegūstams no  citiem izmēriem; 2.2.katras telpas kontūras iekšienē (daļskaitļa veidā) telpas numuru  (skaitītājs) un platību grīdas līmenī (saucējs) ar noteiktību 0,1 m2,  pēc iespējas to izvietojot telpas kontūras centrā; 2.3.ēkas ārsienu un to izvirzīto daļu garumus (tikai pirmā stāva plānā); 2.4.telpu grupu kadastra apzīmējuma pēdējos trīs ciparus (apvelkot ar  taisnstūri); 2.5.telpu grupām piešķirtos numurus – adreses elementus (apvelkot ar apli). Paraugs.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noteikumu_konsolidētā_versija_p10_22-TA-636.docx</dc:title>
</cp:coreProperties>
</file>

<file path=docProps/custom.xml><?xml version="1.0" encoding="utf-8"?>
<Properties xmlns="http://schemas.openxmlformats.org/officeDocument/2006/custom-properties" xmlns:vt="http://schemas.openxmlformats.org/officeDocument/2006/docPropsVTypes"/>
</file>