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konstruktīvo elementu tehniskā stāvokļa vizuālais novērtējums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18.02.2020. noteikumu Nr. 104 redakcijā; pielikuma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96"/>
        <w:gridCol w:w="7796"/>
        <w:gridCol w:w="1664"/>
        <w:tblGridChange w:id="0">
          <w:tblGrid>
            <w:gridCol w:w="7796"/>
            <w:gridCol w:w="7796"/>
            <w:gridCol w:w="1664"/>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Vizuāli konstatējamās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Konstruktīvajam elementam nav redzamu bojājumu (piemēram, nav plaisu, atšķēlumu, trupes, korozijas).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konstruktīvā elementa virsmas laukumā nav redzami nevienā ēkas telpu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Teicams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nenozīmīgi bojājumi atsevišķās konstruktīvā elementa daļās (piemēram, ir iedobumi, robi, nenozīmīgas plaisas, daļēji bojāta antikorozijas aizsardzība).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aizņem līdz 10 % no konstruktīvā elementa virsmas laukuma un/vai ir redzami vismaz 5 % ēkas telpu grupu ārsienās vai pārsegumos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bojājumi (piemēram, caurumi vai caurejošas plaisas, dzelzsbetona konstrukcijām atsegta armatūra, trupes bojājumi un sīkplaisas koksnes virskārtā, jumta segumā lokšņu fragmentu atšķēlumi, virsmas uzpūtumi, atsevišķu ieseguma elementu iztrūkums). Konstruktīvajam elementam nav atjaunotas bojātās konstrukcijas, bet ieiešana ēkas telpās ir iespējama.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aizņem 11 %–50 % no konstruktīvā elementa virsmas laukuma vai ir redzami vismaz 10 % ēkas telpu grupu ārsienās vai pārsegumos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Būtiski bojājumi (piemēram, apjomīgi sienu, grīdas izspiedumi un virsmas līniju izliekumi, masveidīgs mūra sienu plaisu tīklojums, būvprojektā neparedzēta mūra sienu novirze no vertikāles pārsniedz 50 % sienas biezuma, ir ierīkoti pagaidu balsti, jumta seguma virsmas plaisas un masveida caurtecējumi).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aizņem 51 %–81 % no konstruktīvā elementa virsmas laukuma vai ir redzami vairāk nekā 10 % ēkas telpu grupu telpu ārsienās vai pārsegumos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Konstruktīvais elements daļēji sabrucis vai sagruvis, vai pilnībā satrunējis, bet vēl eksistē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slikts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noteikumu_konsolidētā_versija_p2_22-TA-636.docx</dc:title>
</cp:coreProperties>
</file>

<file path=docProps/custom.xml><?xml version="1.0" encoding="utf-8"?>
<Properties xmlns="http://schemas.openxmlformats.org/officeDocument/2006/custom-properties" xmlns:vt="http://schemas.openxmlformats.org/officeDocument/2006/docPropsVTypes"/>
</file>