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18. jūnijā (prot. Nr. 33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likuma "Par valsts budžetu 2026. gadam un budžeta ietvaru 2026., 2027. un 2028. gadam" 69. pantu, atbalstīt apropriācijas pārdali 92 312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no budžeta resora "74. Gadskārtējā valsts budžeta izpildes procesā pārdalāmais finansējums" programmas 18.00.00 "Finansējums valsts drošības stiprināšanas pasākumiem", lai nodrošinātu </w:t>
      </w:r>
      <w:r w:rsidR="00000000" w:rsidRPr="00000000" w:rsidDel="00000000">
        <w:rPr>
          <w:i w:val="1"/>
          <w:rtl w:val="0"/>
        </w:rPr>
        <w:t xml:space="preserve">Tempest</w:t>
      </w:r>
      <w:r w:rsidR="00000000" w:rsidRPr="00000000" w:rsidDel="00000000">
        <w:rPr>
          <w:rtl w:val="0"/>
        </w:rPr>
        <w:t xml:space="preserve"> datoru un to aprīkojuma iegādi, no tiem: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46 156 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Iekšlietu ministrijas budžeta apakšprogrammu 06.01.00 "Valsts policija";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46 156 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 Iekšlietu ministrijas budžeta programmu 10.00.00 "Valsts robežsardzes darbība".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Kulbergs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Dombrava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26-TA-1093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26-TA-1093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