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19. septembrī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46</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11.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Rīkojuma projekts "Grozījumi Ministru kabineta 2022. gada 26. oktobra rīkojumā Nr. 763 "Par Satiksmes ministrijas ilgtermiņa saistībām jauno elektrovilcienu projekta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23-TA-1956</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(turpmāk - rīkojums)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Satiksmes ministrijas priekšlikumu finansējuma pārdalei pa gadiem jauno elektrovilcienu iegādes projektā.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AS "Pasažieru vilciens" precizētā biznesa plāna projekta, kas ietver tā saimnieciskās un finanšu darbības prognozes, tajā skaitā 32 elektrovilcienu, rezerves daļu fonda pieciem gadiem un elektrovilcienu uzturēšanas iekārtu iegādes, elektrovilcienu ražošanas uzraudzības izmaksas, kā arī vilcienu remontu centra izbūvi, un Eiropas Savienības struktūrfonda un Kohēzijas fonda līdzfinansējuma piesaisti, provizoriskā ietekme uz vispārējās valdības budžeta bilanci 2023. gadā ir 58 570 373 </w:t>
      </w:r>
      <w:r w:rsidR="00000000" w:rsidRPr="00000000" w:rsidDel="00000000">
        <w:rPr>
          <w:i w:val="1"/>
          <w:rtl w:val="0"/>
        </w:rPr>
        <w:t xml:space="preserve">euro </w:t>
      </w:r>
      <w:r w:rsidR="00000000" w:rsidRPr="00000000" w:rsidDel="00000000">
        <w:rPr>
          <w:rtl w:val="0"/>
        </w:rPr>
        <w:t xml:space="preserve">(negatīva ietekme), 2024. gadā ir 75 434 275 </w:t>
      </w:r>
      <w:r w:rsidR="00000000" w:rsidRPr="00000000" w:rsidDel="00000000">
        <w:rPr>
          <w:i w:val="1"/>
          <w:rtl w:val="0"/>
        </w:rPr>
        <w:t xml:space="preserve">euro</w:t>
      </w:r>
      <w:r w:rsidR="00000000" w:rsidRPr="00000000" w:rsidDel="00000000">
        <w:rPr>
          <w:rtl w:val="0"/>
        </w:rPr>
        <w:t xml:space="preserve"> (negatīva ietekme) un 2025. gadā ir 2 185 835 </w:t>
      </w:r>
      <w:r w:rsidR="00000000" w:rsidRPr="00000000" w:rsidDel="00000000">
        <w:rPr>
          <w:i w:val="1"/>
          <w:rtl w:val="0"/>
        </w:rPr>
        <w:t xml:space="preserve">euro</w:t>
      </w:r>
      <w:r w:rsidR="00000000" w:rsidRPr="00000000" w:rsidDel="00000000">
        <w:rPr>
          <w:rtl w:val="0"/>
        </w:rPr>
        <w:t xml:space="preserve"> (pozitīva ietekme).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ņemt vērā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provizorisko fiskālo ietekmi uz vispārējās valdības budžeta bilanci, izstrādājot likumprojektu "Par valsts budžetu 2024. gadam un budžeta ietvaru 2024., 2025. un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normatīvajos aktos noteiktā kārtībā sagatavot un iesniegt Finanšu ministrijā pieprasījumu valsts budžeta apropriācijas un ilgtermiņa saistību precizēšanai 2023. gadam un priekšlikumus bāzes izdevumu precizēšanai 2024., 2025. un 2026. gadam likumprojekta "Par valsts budžetu 2024. gadam un budžeta ietvaru 2024., 2025. un 2026. gadam" sagatavošanas procesā atbilstoši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aktualitāti zaudējušu Ministru kabineta 2022. gada 25. oktobra sēdes protokollēmumu (prot. Nr. 54 27. §) "Rīkojuma projekts "Par Satiksmes ministrijas ilgtermiņa saistībām jauno elektrovilcienu projekta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izpildītu Ministru kabineta 2023. gada 20. jūnija sēdes protokollēmuma (prot. Nr. 33 38. §) "Rīkojuma projekts "Par apropriācijas pārdali"" 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direktora pienākumu izpildītāja ‒ Valsts kancelejas direktora pienākumu izpildītāja, direktora vietniece tiesību aktu lietās, Juridiskā departamenta vadītāja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I. Gailīte</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23-TA-1956</w:t>
    </w:r>
    <w:r>
      <w:br/>
    </w:r>
    <w:r w:rsidR="00000000" w:rsidRPr="00000000" w:rsidDel="00000000">
      <w:rPr>
        <w:rtl w:val="0"/>
      </w:rPr>
      <w:t xml:space="preserve">Izdrukāts 29.07.2026. 21.52 - 1.0.VK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23-TA-1956</w:t>
    </w:r>
    <w:r>
      <w:br/>
    </w:r>
    <w:r w:rsidR="00000000" w:rsidRPr="00000000" w:rsidDel="00000000">
      <w:rPr>
        <w:rtl w:val="0"/>
      </w:rPr>
      <w:t xml:space="preserve">Izdrukāts 29.07.2026. 21.52 - 1.0.VK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protokollēmums_23-TA-1956.docx</dc:title>
</cp:coreProperties>
</file>

<file path=docProps/custom.xml><?xml version="1.0" encoding="utf-8"?>
<Properties xmlns="http://schemas.openxmlformats.org/officeDocument/2006/custom-properties" xmlns:vt="http://schemas.openxmlformats.org/officeDocument/2006/docPropsVTypes"/>
</file>