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11. aprīlī (prot. Nr. 19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un uzrauga Eiropas Savienības  Atveseļošanas un noturības mehānisma (turpmāk – Atveseļošanas fonds) plāna 1. komponentes "Klimata pārmaiņas un vides ilgtspēja"1.1. reformu un investīciju virziena "Emisiju samazināšana transporta sektorā" 1.1.1.r. reformas "Rīgas metropoles areāla transporta sistēmas zaļināšana" (turpmāk – reforma) 1.1.1.1.i. investīcijas "Konkurētspējīgs dzelzceļa pasažieru transports kopējā Rīgas pilsētas sabiedriskā transporta sistēmā"" 1.1.1.1.i.2. un 1.1.1.1.i.3. saistītos pasākumus (turpmāk – investīcija),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investīcijai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ieviešanā iesaistītās institūcijas, to pienākumus un 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attiecināmību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uzlabot valsts bezemisiju publiskās lietošanas dzelzceļa infrastruktūru, modernizējot dzelzceļa elektrificēto tīklu līnijās Rīga–Zemitāni un Rīga–Priedaine un attīstot līniju Zasulauks–Bolderāja, lai veicinātu iedzīvotāju pārvietošanās paradumu maiņu un samazinātu sabiedriskā transporta negatīvo ietekmi uz vidi.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satiksmes dalībnieki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ietvaros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31. martam sasniedzamais mērķis: izveidoto elektrificēto dzelzceļa līniju un modernizēto esošo dzelzceļa līniju garums pasažieru pārvadāšanai  – 81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sasniedzamais uzraudzības rādītājs: parakstīti visi iepirkuma līgumi par to kopējo dzelzceļa posmu garumu, kas izveidojami vai atjaunojami saskaņā ar 1.1.1.1.i. investīciju.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Investīcijai pieejamais Atveseļošanas fonda finansējums ir 72 700 000 </w:t>
      </w:r>
      <w:r w:rsidR="00000000" w:rsidRPr="00000000" w:rsidDel="00000000">
        <w:rPr>
          <w:i w:val="1"/>
          <w:rtl w:val="0"/>
        </w:rPr>
        <w:t xml:space="preserve">euro</w:t>
      </w:r>
      <w:r w:rsidR="00000000" w:rsidRPr="00000000" w:rsidDel="00000000">
        <w:rPr>
          <w:rtl w:val="0"/>
        </w:rPr>
        <w:t xml:space="preserve">, kas tiek sniegts granta veidā, sasniedzot investīcijas mērķi 100 %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izdevumu attiecināmības termiņš ir 2026. gada 31. marts.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saņēmējs ir valsts akciju sabiedrība "Latvijas dzelzceļš", kas investīcijas ietvaros īsteno projektu un atbilstoši </w:t>
      </w:r>
      <w:r w:rsidR="00000000" w:rsidRPr="00000000" w:rsidDel="00000000">
        <w:rPr>
          <w:rtl w:val="0"/>
        </w:rPr>
        <w:t xml:space="preserve">Ministru kabineta 2021. gada 7. septembra noteikumiem Nr. 621 </w:t>
      </w:r>
      <w:r w:rsidR="00000000" w:rsidRPr="00000000" w:rsidDel="00000000">
        <w:rPr>
          <w:rtl w:val="0"/>
        </w:rPr>
        <w:t xml:space="preserve">"</w:t>
      </w:r>
      <w:r w:rsidR="00000000" w:rsidRPr="00000000" w:rsidDel="00000000">
        <w:rPr>
          <w:rtl w:val="0"/>
        </w:rPr>
        <w:t xml:space="preserve">Eiropas Savienības Atveseļošanas un noturības mehānisma plāna īstenošanas un uzraudzības kārtība</w:t>
      </w:r>
      <w:r w:rsidR="00000000" w:rsidRPr="00000000" w:rsidDel="00000000">
        <w:rPr>
          <w:rtl w:val="0"/>
        </w:rPr>
        <w:t xml:space="preserve">" (turpmāk – noteikumi Nr. 621) saņem Atveseļošanas fonda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Satiksmes ministrija kā nozares ministrija ir atbildīga par investīcijas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Centrālā finanšu un līgumu aģentūra (turpmāk – aģentūra) slēdz  līgumu par projekta īstenošanu ar finansējuma saņēmēju  (turpmāk – līgums) un piešķir investīcijas atbalstu saskaņā ar šajos noteikumos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Aģentūra atbilstoši </w:t>
      </w:r>
      <w:r w:rsidR="00000000" w:rsidRPr="00000000" w:rsidDel="00000000">
        <w:rPr>
          <w:rtl w:val="0"/>
        </w:rPr>
        <w:t xml:space="preserve">noteikumiem Nr. 621</w:t>
      </w:r>
      <w:r w:rsidR="00000000" w:rsidRPr="00000000" w:rsidDel="00000000">
        <w:rPr>
          <w:rtl w:val="0"/>
        </w:rPr>
        <w:t xml:space="preserve"> nodrošina investīcijas īstenošanas uzraudzību.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Satiksmes ministrija nodrošina komunikācijas un publicitātes pasākumus saskaņā ar </w:t>
      </w:r>
      <w:r w:rsidR="00000000" w:rsidRPr="00000000" w:rsidDel="00000000">
        <w:rPr>
          <w:rtl w:val="0"/>
        </w:rPr>
        <w:t xml:space="preserve">Eiropas Parlamenta un Padomes 2021. gada 12. februāra Regulas (ES) Nr. 2021/241, ar ko izveido Atveseļošanas un noturības mehānismu </w:t>
      </w:r>
      <w:r w:rsidR="00000000" w:rsidRPr="00000000" w:rsidDel="00000000">
        <w:rPr>
          <w:rtl w:val="0"/>
        </w:rPr>
        <w:t xml:space="preserve"> (turpmāk – regula Nr. 2021/241), 34. pantu un </w:t>
      </w:r>
      <w:r w:rsidR="00000000" w:rsidRPr="00000000" w:rsidDel="00000000">
        <w:rPr>
          <w:rtl w:val="0"/>
        </w:rPr>
        <w:t xml:space="preserve">Eiropas Komisijas un Latvijas Republikas Atveseļošanas fonda finansēšanas nolīguma</w:t>
      </w:r>
      <w:r w:rsidR="00000000" w:rsidRPr="00000000" w:rsidDel="00000000">
        <w:rPr>
          <w:rtl w:val="0"/>
        </w:rPr>
        <w:t xml:space="preserve"> 10.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ietvaros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bezemisiju dzelzceļa infrastruktūras uzlabošana;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dzelzceļa elektrifikācija un ar to saistītās darbības.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minētās atbalstāmās darbības ietver šādas attiecināmo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tai skaitā izmaksu un ieguvumu analīzes izstrādes izmaksas un tehniski ekonomiskā pamatojuma izstrādes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apliecinājumu kartes vai paskaidrojuma raksta izstrāde visām projektā paredzētajām darbībām un ar to saistīto būvekspertīžu, izpētes, slēdzienu un ekspertīzes izmaksas, ja to veikšana ir priekšnosacījums būvprojekta, būvdarbu ieceres dokumentācijas vai būvprojekta minimālā sastāvā izstrādei;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normatīvajos aktos noteiktās attiecīgo būvspeciālistu obligātās apdrošināšanas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dzelzceļa infrastruktūras būvniecības, pārbūves  un atjaunošanas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elektrotīkla izbūves, pārbūves un nomaiņas izmaksas, nodrošinot priekšnosacījumus migrācijai uz 25 kV elektrifikācijas sistēmu;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elektrificēto līniju kopgaruma palielināšanas izmaksas, elektrificēto sliežu ceļu posmu izbūves un staciju sliežu ceļu plānu uzlabojumu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telekomunikāciju līniju un sistēmu būvniecība, vidēja sprieguma un augstsprieguma līniju kabeļu un krustojumu rekonstrukcija un nomaiņa;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esošo vilcienu kustības sistēmu un signalizācijas sistēmu rekonstrukcija;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dzelzceļa pārvadu un tiltu pārbūve, kontakttīkla būvniecība vai rekonstrukcija;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staciju pārbūves izmaksas, tai skaitā sliežu ceļu plāna uzlabojumu, pasažieru platformu pārbūves, pasažieru apkalpošanas infrastruktūras un drošu divlīmeņu šķērsojumu un piekļuves platformām izbūves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obligāto ugunsdrošības un citu drošības prasību ievērošanu saistītās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obligāto vides aizsardzības prasību nodrošināšanai paredzēto pasākumu izmaksas, ciktāl to paredz normatīvie akti vides aizsardzības jomā, tostarp ietekmes uz vidi novērtējuma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vides un informācijas piekļūstamības nodrošināšanas izmaksas atbilstoši būvprojekta risinājumam;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kas saistītas ar Atveseļošanas fonda vizuālās identitātes obligāto prasību nodrošināšanu un komunikācijas pasākumiem;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neatkarīga revidenta vai iekšējā auditora piesaistes izmaksas, lai apliecinātu izmaksu pamatotību un mērķa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zemes iegādes izmaksas, ja zemes iegāde ir tieši nepieciešama projektā paredzētās būvniecības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13.13. </w:t>
      </w:r>
      <w:r w:rsidR="00000000" w:rsidRPr="00000000" w:rsidDel="00000000">
        <w:rPr>
          <w:rtl w:val="0"/>
        </w:rPr>
        <w:t xml:space="preserve">apakšpunktā</w:t>
      </w:r>
      <w:r w:rsidR="00000000" w:rsidRPr="00000000" w:rsidDel="00000000">
        <w:rPr>
          <w:rtl w:val="0"/>
        </w:rPr>
        <w:t xml:space="preserve"> minētās izmaksas ietver finansējuma saņēmēja iekšējā auditora vai neatkarīga revidenta atzinumu (turpmāk – revidenta atzinums) par projekta darbību, mērķu sasniegšanu, maksājumu pieprasījumu izmaksu pamatotību, interešu konflikta, korupcijas un krāpšanas novēršanas nosacījumu ievērošanu projektā un dubultā finansējuma riska novēršanu. Finansējuma saņēmējs  finanšu izlietojuma atbilstības uzraudzībai iesniedz revidenta atzinumu.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minētajām izmaksu pozīcijām nav attiecināmas no Atveseļošanas fonda finansējuma. Pievienotās vērtības nodokļa izmaksas finansējuma saņēmējs sedz no privātajiem finanšu līdzekļiem.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ietvaros radušās izmaksas var uzskatīt par attiecināmām finansēšanai no Atveseļošanas fonda, ja darbības līguma noslēgšanas brīdī nav pabeigtas, atbilst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noteiktajām atbalstāmajām darbībām un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noteiktajām attiecināmo izmaksu pozīcijām un ir radušās, sākot ar 2020. gada 1. februāri.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Investīcijas ieviešanas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ietvaros īstenotais projekts, tai skaitā īstenotās atbalstāmās darbības, ir sasaistītas un veicina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investīcijas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nodrošina, ka projekts un atbalstāmās darbības tiek īstenotas saskaņā ar </w:t>
      </w:r>
      <w:r w:rsidR="00000000" w:rsidRPr="00000000" w:rsidDel="00000000">
        <w:rPr>
          <w:rtl w:val="0"/>
        </w:rPr>
        <w:t xml:space="preserve">regulas Nr. 2021/241</w:t>
      </w:r>
      <w:r w:rsidR="00000000" w:rsidRPr="00000000" w:rsidDel="00000000">
        <w:rPr>
          <w:rtl w:val="0"/>
        </w:rPr>
        <w:t xml:space="preserve"> 2. panta 6. punktu, ievērojot principa "nenodarīt būtisku kaitējumu"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bezemisiju dzelzceļa infrastruktūras attīstību saistītās infrastruktūras pielāgošana un izveide neizraisa tūlītēju vai nākotnē iespējamu negatīvu klimata ietekmi uz  projektu, cilvēkiem, dabu vai aktīviem (tai skaitā infrastruktūru), kā arī nerada negatīvu ietekmi uz pielāgošanos klimata pārmaiņu mērķu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tiek noteikti arī ar būvniecību, uzturēšanu un ekspluatāciju saistītie riski;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dzelzceļa infrastruktūras uzlabojumi ietver dzelzceļa tīkla elektrifikācijas sistēmas uzlabošanu, nodrošinot priekšnosacījumus migrācijai no 3.3 kV sistēmas uz 25 kV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Atbalstu finansējuma saņēmējam nesniedz, ja tas ir kādā no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Nr.541/2014/ES un atceļ Regulu (ES, Euratom) Nr. 966/2012 (turpmāk – regula Nr. 2018/1046), 136. pantā "Izslēgšanas kritēriji un lēmumi par izslēgšanu" noteiktajām izslēgšanas situācijām.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projekta īstenošanai nepieciešamo informāciju iesniedz Kohēzijas politikas fondu vadības informācijas sistēmā (turpmāk – Vadības informācijas sistēma).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Satiksmes ministrija 10 darbdienu laikā pēc šo noteikumu stāšanās spēkā nosūta finansējuma saņēmējam uzaicinājumu iesniegt projekta iesniegumu Satiksmes ministrijas noteiktajā termiņā un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pēc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 uzaicinājuma saņemšanas iesniedz projekta iesniegumu atbilstoši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noteiktajai kārtībai, pievienojot projekta iesniegumam izmaksu un ieguvumu analīzi un apliecinājumu, ka finansējuma saņēmējs neatrodas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noteiktajās izslēgšanas situācijās.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Satiksmes ministrija pēc finansējuma saņēmēja projekta iesnieguma saņemšanas organizē iesniegtā projekta pārbaudi atbilstoši šiem noteikumiem un, ja nepieciešams, lūdz finansējuma saņēmēju papildināt un precizēt iesniegto informāciju, nosakot termiņus precizējumu un papildinājumu iesniegšanai. Finansējuma saņēmējs precizējumus var veikt, līdz projekta iesniegums atbilst visām izvirzītajām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iesnieguma pārbaudes ietvaros Satiksmes ministrija lūdz aģentūrai sniegt tās rīcībā esošo informāciju,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neatrodas r</w:t>
      </w:r>
      <w:r w:rsidR="00000000" w:rsidRPr="00000000" w:rsidDel="00000000">
        <w:rPr>
          <w:rtl w:val="0"/>
        </w:rPr>
        <w:t xml:space="preserve">egulas </w:t>
      </w:r>
      <w:r w:rsidR="00000000" w:rsidRPr="00000000" w:rsidDel="00000000">
        <w:rPr>
          <w:rtl w:val="0"/>
        </w:rPr>
        <w:t xml:space="preserve">Nr. 2018/1046</w:t>
      </w:r>
      <w:r w:rsidR="00000000" w:rsidRPr="00000000" w:rsidDel="00000000">
        <w:rPr>
          <w:rtl w:val="0"/>
        </w:rPr>
        <w:t xml:space="preserve"> 136. pantā "Izslēgšanas kritēriji un lēmumi par izslēgšanu" noteiktajās izslēgšanas situācijās;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saņēmējam Latvijas Republikā nav nodokļu  un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iesniegums atbilst šajos noteikumos noteiktajiem nosacījumiem un uz finansējuma saņēmēju nav attiecināms neviens no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minētajiem izslēgšanas kritērijiem, Satiksmes ministrija informē aģentūru par atļauju uzsākt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līguma slēgšanas procesu.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līgumā par investīcijas īstenošanu tiek iekļauta vismaz šāda 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termiņi, sasniedzamais mērķis un uzraudzības rādītājs;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atbildības sadalījums starp aģentūru un finansējuma saņēmēju, tai skaitā pušu pienākumi un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īstenošanai nepieciešamais finansējums un korektīvo darbību veikšanas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avansa, starpposma un noslēguma maksājumu saņemšanas nosacījumi, tai skaitā avansa un starpposma maksājumu apjoms un to izmaksāšanas kārtība un termiņi, kādā jāsasniedz projekta mērķis, izmantojot saņemto avansu;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plānoto iepirkumu plāns un tā iesniegšanas, precizēšanas un grozījumu veikšanas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uzraudzības un pārbaužu veikšanas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sagatavots un pilnībā aizpildīts projekta iesniegums;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un dokumentu kopums, kas apliecinās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investīcijas mērķa un uzraudzības rādītāja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projekta īstenošanu saistīto dokumentu glabāšanas termiņi;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finansējuma saņēmēja apliecinājums, ka projekta atbalstāmās darbības un izmaksas netiek finansētas vai līdzfinansētas, kā arī tās nav plānots finansēt vai līdzfinansēt no citiem valsts un ārvalstu finanšu atbalsta instrumentiem;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Vadības informācijas sistēmā ievadāmo datu apjoms, datu ievades regularitāte, atbildības sadalījums un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rādītāju sasniegšanu pamatojošo dokumentu augšupielādes apjoms un regularitāte.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saņēmējam ir pienākums pēc līguma noslēgšanas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noteiktajā kārtībā iesniegt: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maksājuma pieprasījumu iesniegšanas grafiku, kurā norāda maksājumu pieprasījumu veidu (avansa maksājums, starpposma maksājums un noslēguma maksājums), maksājuma apmēru un pieprasīšanas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plānu par visiem investīcijas ieviešanai plānotajiem iepirkumiem, kuru rīkošanai paredzēts piemērot Sabiedrisko pakalpojumu sniedzēju likumu.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Kārtību, kādā investīcijas ietvaros tiek veikti maksājumi finansējuma saņēmējam, un nosacījumus maksājuma dokumentu pārbaudēm nosaka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līgumā, tai skaitā ņemot vērā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līgumā var paredzēt avansa maksājumu, starpposma maksājumus un noslēguma maksājumu. Avansa maksājumu paredz ne vairāk kā 30 % apmērā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investīcijas izmaksām, pamatojoties uz investīcijas ietvaros veiktajiem izdevumiem, tai skaitā  maksājumiem saskaņā ar pakalpojumu, preču piegādes vai būvdarbu līgumiem. Finansējuma saņēmējam avanss ir jāapgūst sešu mēnešu laikā saimnieciskā gada ietvaros, iesniedzot starpposma maksājumu piešķirtās avansa summas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var saņemt vairākus avansa maksājumus, paredzot, ka nākamo avansu var saņemt pēc tam, kad iepriekšējais avanss ir pilnībā apgūts;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kopējais piešķirtā avansa un starpposma maksājumu apmērs nevar pārsniegt 90 %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kopējām investīcijas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noslēguma maksājumu par atlikušo finansējuma daļu var veikt tikai pēc revidenta atzinuma, kas tiek iesniegts kopā ar noslēguma maksājuma pieprasījumu.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Aģentūra piešķir atbalstu un veic uzraudzību atbilstoši </w:t>
      </w:r>
      <w:r w:rsidR="00000000" w:rsidRPr="00000000" w:rsidDel="00000000">
        <w:rPr>
          <w:rtl w:val="0"/>
        </w:rPr>
        <w:t xml:space="preserve">noteikumiem Nr. 621</w:t>
      </w:r>
      <w:r w:rsidR="00000000" w:rsidRPr="00000000" w:rsidDel="00000000">
        <w:rPr>
          <w:rtl w:val="0"/>
        </w:rPr>
        <w:t xml:space="preserve">,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uzrauga, kā finansējuma saņēmējs ievēro līgumā noteiktās prasības. Ja aģentūra konstatē, ka minētās prasības netiek ievērotas, tā pret finansējuma saņēmēju veic attiecīgas korektīvās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maksājumus finansējuma saņēmējam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līgumā noteiktajā kārtībā, ievērojot šādus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maksājumus, kontrolē investīcijai pieejamo finansējumu, nepieļaujot investīcijas īstenošanai noteiktās summas pārsniegšanu;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ietvaros sagatavo valsts budžeta pieprasījumus atbilstoši Likumam par budžetu un finanšu vadību;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pamatojošās dokumentācijas pārbaudes;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izlases veidā veic pārbaudes par interešu konfliktu, krāpšanu un korupciju, kā arī dubultā finansējuma riska novēršanas pārbaudes, pārbaudes projekta īstenošanas vietā, projekta ieviešanas progresa un sasniegto rādītāju pārbaudes un datu ticamības pārbaudes atbilstoši </w:t>
      </w:r>
      <w:r w:rsidR="00000000" w:rsidRPr="00000000" w:rsidDel="00000000">
        <w:rPr>
          <w:rtl w:val="0"/>
        </w:rPr>
        <w:t xml:space="preserve">noteikumu Nr. 621</w:t>
      </w:r>
      <w:r w:rsidR="00000000" w:rsidRPr="00000000" w:rsidDel="00000000">
        <w:rPr>
          <w:rtl w:val="0"/>
        </w:rPr>
        <w:t xml:space="preserve"> 9.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izmaksāto līdzekļu atgūšanu 100 % apmērā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kopējām investīcijas izmaksām, ja veiktajās pārbaudēs tiek konstatēts interešu konflikts, krāpšana un korupcija vai dubultais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saņēmēja pienākums ir īstenot projektu atbilstoši </w:t>
      </w:r>
      <w:r w:rsidR="00000000" w:rsidRPr="00000000" w:rsidDel="00000000">
        <w:rPr>
          <w:rtl w:val="0"/>
        </w:rPr>
        <w:t xml:space="preserve">noteikumiem Nr. 621</w:t>
      </w:r>
      <w:r w:rsidR="00000000" w:rsidRPr="00000000" w:rsidDel="00000000">
        <w:rPr>
          <w:rtl w:val="0"/>
        </w:rPr>
        <w:t xml:space="preserve"> un nodrošināt investīcijas ietvaros piešķirtā finansējuma izlietošanu atbilstoši līguma nosacījumiem,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ka projekts, tai skaitā īstenotās atbalstāmās darbības, ir sasaistē un veicina reformas sasniegšanu, ņemot vērā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investīcijas mērķa sasniegšanu 100 % apmērā laika grafikā noteiktajā termiņā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kā arī  nodrošināt piekļuvi ar projekta īstenošanu saistītajai informācijai un spēt to uzrādīt Eiropas Komisijas un Latvijas Republikas Atveseļošanas un noturības mehānisma finansēšanas nolīgumā minētajām iestādēm un revīzijas iestādei;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ka projekta ietvaros darbības tiek īstenotas, ievērojot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informācijas un publicitātes pasākumus saskaņā ar </w:t>
      </w:r>
      <w:r w:rsidR="00000000" w:rsidRPr="00000000" w:rsidDel="00000000">
        <w:rPr>
          <w:rtl w:val="0"/>
        </w:rPr>
        <w:t xml:space="preserve">regulas Nr. 2021/241</w:t>
      </w:r>
      <w:r w:rsidR="00000000" w:rsidRPr="00000000" w:rsidDel="00000000">
        <w:rPr>
          <w:rtl w:val="0"/>
        </w:rPr>
        <w:t xml:space="preserve"> 34. pantu un </w:t>
      </w:r>
      <w:r w:rsidR="00000000" w:rsidRPr="00000000" w:rsidDel="00000000">
        <w:rPr>
          <w:rtl w:val="0"/>
        </w:rPr>
        <w:t xml:space="preserve">Eiropas Komisijas un Latvijas Republikas Atveseļošanas un noturības mehānisma finansēšanas nolīguma</w:t>
      </w:r>
      <w:r w:rsidR="00000000" w:rsidRPr="00000000" w:rsidDel="00000000">
        <w:rPr>
          <w:rtl w:val="0"/>
        </w:rPr>
        <w:t xml:space="preserve"> 10. pantu;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datu ievadi Vadības informācijas sistēmā progresa pusgada ziņojuma un maksājuma pieprasījuma informācijas sagatavošanai atbilstoši </w:t>
      </w:r>
      <w:r w:rsidR="00000000" w:rsidRPr="00000000" w:rsidDel="00000000">
        <w:rPr>
          <w:rtl w:val="0"/>
        </w:rPr>
        <w:t xml:space="preserve">regulas Nr. 2021/241</w:t>
      </w:r>
      <w:r w:rsidR="00000000" w:rsidRPr="00000000" w:rsidDel="00000000">
        <w:rPr>
          <w:rtl w:val="0"/>
        </w:rPr>
        <w:t xml:space="preserve"> 22. un 27. pantam;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līgumu noteiktā kārtībā atmaksāt investīcijas īstenošanas ietvaros piešķirto finansējumu, ja tas nav izlietots atbilstoši līgumā noteiktajiem nosacījumiem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ka infrastruktūras objekts, kurā paredzēts veikt investīcijas, atrodas finansējuma saņēmēja īpašumā vai finansējuma saņēmējs ir saskaņojis būvniecības ieceri ar zemesgabala īpašnieku atbilstoši Būvniecības likumam;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projekta rezultātu ilgtspēju piecus gadus pēc projekta pabeigšanas;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korupcijas un krāpšanas novēršanas nosacījumu ievērošanu, kā arī interešu konflikta un dubultā finansējuma riska novēršanu;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sniegt Eiropas Komisijas un Latvijas Republikas Atveseļošanas un noturības mehānisma finansēšanas nolīgumā minētajām iestādēm un revīzijas iestādei visu nepieciešamo informāciju  saistībā ar projekta īstenošanu un projekta mērķu sasniegšanu, nodrošināt datu un informācijas pieejamību, kā arī nodrošināt savlaicīgu datu ievadi un uzkrāšanu Vadības informācijas sistēmā par projektu.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Investīcijas ietvaros projektu īsteno saskaņā ar līgumu, bet ne ilgāk kā līdz 2026. gada 31. martam.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līdz 2024. gada 30. janvārim iesniedz Vadības informācijas sistēmā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minētā uzraudzības rādītāja sasniegšanu pamatojošo projekta dokumentāciju.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līdz 2026. gada 30. jūnijam iesniedz Vadības informācijas sistēmā projekta mērķa sasniegšanu pamatojošo projekta noslēguma dokumentāciju, revidenta atzinumu, kas apliecina izmaksu pamatotību un  mērķa sasniegšanu,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apliecinājumu par izbūvētās un pārbūvētās dzelzceļa infrastruktūras nodošanu ekspluatācijā un investīcijas projekta mērķu un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un piegādes līgumus un to izdevumus pamatojošo dokumentāciju;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rēķinus un citus veiktos maksājumus apliecinošos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pieņemšanas un nodošanas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bankas garantijas vai apdrošināšanas polises,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pamatojošos dokumentus, kas apliecina projekta mērķu un rādītāju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Aģentūra līdz 2026. gada 31. augustam veic projekta noslēguma dokumentācijas pārbaudi un izmaksā noslēguma maksājumu finansējuma saņēmējam.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ka pēc projekta īstenošanas projekta ietvaros radītā infrastruktūra ir vienlīdzīgi un bez diskriminācijas pieejama visiem potenciālajiem lietotājiem un par piekļuvi šai infrastruktūrai tiek noteikta adekvāta samaksa.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nodrošina projektā plānoto darbu sasaisti, sinerģiju un demarkāciju ar citu atbalsta instrumentu investīcijām, dubultfinansējuma riska mazināšanai.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glabā investīcijas īstenošanas dokumentāciju vismaz piecus gadus pēc noslēguma maksājuma veikšanas dalībvalstij un nodrošina, ka dokumentācija ir pieejama Atveseļošanas fonda investīciju administrēšanā iesaistītajām institūcijām.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Aģentūrai investīcijas ietvaros ir tiesības vienpusēji atkāpties no līguma jebkurā no šādiem gadījumiem: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tai skaitā netiek ievēroti projektā noteiktie termiņi vai ir iestājušies citi apstākļi, kas negatīvi ietekmē vai var ietekmēt investīcijas  mērķa vai noteikto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līgums.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izpildītāja ‒ 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22-TA-1622</w:t>
    </w:r>
    <w:r>
      <w:br/>
    </w:r>
    <w:r w:rsidR="00000000" w:rsidRPr="00000000" w:rsidDel="00000000">
      <w:rPr>
        <w:rtl w:val="0"/>
      </w:rPr>
      <w:t xml:space="preserve">Izdrukāts 29.07.2026. 21.27 - 1.0.VK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22-TA-1622</w:t>
    </w:r>
    <w:r>
      <w:br/>
    </w:r>
    <w:r w:rsidR="00000000" w:rsidRPr="00000000" w:rsidDel="00000000">
      <w:rPr>
        <w:rtl w:val="0"/>
      </w:rPr>
      <w:t xml:space="preserve">Izdrukāts 29.07.2026. 21.27 - 1.0.VK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noteikumu_projekts_22-TA-1622.docx</dc:title>
</cp:coreProperties>
</file>

<file path=docProps/custom.xml><?xml version="1.0" encoding="utf-8"?>
<Properties xmlns="http://schemas.openxmlformats.org/officeDocument/2006/custom-properties" xmlns:vt="http://schemas.openxmlformats.org/officeDocument/2006/docPropsVTypes"/>
</file>