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dzīvnieku līķu savākšanu, transportēšanu, pārstrādāšanu un likvidēšanu 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"/>
        <w:gridCol w:w="4599"/>
        <w:gridCol w:w="-11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tblGridChange w:id="0">
          <w:tblGrid>
            <w:gridCol w:w="431"/>
            <w:gridCol w:w="4599"/>
            <w:gridCol w:w="-112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aizpildīšanas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līķa īpašnieks vai turētājs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identifikācijas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Novietnes reģistrācijas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Kategorija*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Skaits (gab.)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Svars (kg)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transportēšanu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Pārstrādes/izmantošanas/likvidēšanas veids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pārstrādi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mēne</w:t>
            </w:r>
            <w:r w:rsidR="00000000" w:rsidRPr="00000000" w:rsidDel="00000000">
              <w:rPr>
                <w:sz w:val="16"/>
                <w:rtl w:val="0"/>
              </w:rPr>
              <w:t xml:space="preserve">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 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