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20. maijā (prot. Nr. 20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Valsts policijai, Ukrainas Bruņoto spēku Komunikāciju departamentam, Ukrainas robežsardzei, Ukrainas Nacionālajai gvardei, Kijivas reģiona domei, Zaporižjes apgabala domes Enerģētikas departamentam, Mikolajivas apgabala Ševčenkivas ciema domei, Mikolajivas apgabala Arbuzinskas ciema domei, Sumu apgabala Gluhivas ciema domei, Dņipropetrovskas apgabala Hrušivkas ciema domei, Hersonas apgabala Vinogradivkas militārajai administrācijai)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25-TA-1122</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25-TA-1122</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rīkojuma_projekts_25-TA-1122.docx</dc:title>
</cp:coreProperties>
</file>

<file path=docProps/custom.xml><?xml version="1.0" encoding="utf-8"?>
<Properties xmlns="http://schemas.openxmlformats.org/officeDocument/2006/custom-properties" xmlns:vt="http://schemas.openxmlformats.org/officeDocument/2006/docPropsVTypes"/>
</file>