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pedagogu zemākās darba samaksas likmes pieauguma grafiku laikposmam no 2023. gada 1. septembra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pedagogu zemākās darba samaksas pieauguma indikatīvo grafiku laikposmam no 2023. gada 1. septembra līdz 2025. gada 31. decembrim, ņemot vērā valsts ekonomisko situāciju attiecīgajā gadā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atbilstoši pieņemtajiem lēmumiem par izglītības iestāžu tīkla sakārtošanu un likumā par valsts budžetu kārtējam gadam un budžeta ietvaru nākamajiem gadiem plānotajam finansējumam sagatavot un izglītības un zinātnes ministram līdz 2023. gada 31. maijam un turpmāk katru gadu līdz 1. decembrim iesniegt Ministru kabinetā tiesību akta projektu par attiecīgajiem grozījumiem Ministru kabineta 2016. gada 5. jūlija noteikumos Nr. 445 "Pedagogu darba samaksas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resursus pedagogu zemākās darba samaksas pieauguma nodrošināšanai iegūt, sakārtojot izglītības iestāžu tīklu, efektivizējot izglītības procesu un piešķirot papildu finansējumu no pašvaldību budžetiem un valsts budžeta, ar nosacījumu, ka tiek ievērots solidaritātes un paritātes princips un finansējums, kas veidosies pēc izglītības iestāžu tīkla sakārtošanas, prioritāri tiek novirzīts pedagogu darba samaksas pieauguma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Jautājumu par papildus nepieciešamo finansējumu pedagogu zemākās darba samaksas pieaugumam no 2024. gada 1. janvāra skatīt Ministru kabinetā likumprojekta par valsts budžetu kārtējam gadam un budžeta ietvaru nākamajiem gadiem sagatavošanas un izskatīšanas procesā, ievērojot šā rīkojuma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zināšanai, ka zemākās darba samaksas likmes pieaugums skolu tīkla sakārtošanas procesa laikā 2023.–2025. gadā negarantē, ka proporcionāli pieaugs mērķdotācijas apmērs uz vienu izglītojamo pašvaldību vispārējās pamatizglītības un vispārējās vidējās izglītības iestāžu pedagogu darba samaksai.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Izglītības un zinātnes ministriju par atbildīgo institūciju pedagogu zemākās darba samaksas pieauguma grafika īstenošanā un Aizsardzības ministriju, Kultūras ministriju, Labklājības ministriju, Veselības ministriju, Zemkopības ministriju un Iekšlietu ministriju par līdzatbildīgajām institūcijām. Iesaistītajām institūcijām atbilstoši kompetencei sadarboties ar pašvaldībām un veikt nepieciešamās darbības grafika īstenošanai.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24-TA-2512</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24-TA-2512</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rīkojuma_konsolidētā_versija_24-TA-2512.docx</dc:title>
</cp:coreProperties>
</file>

<file path=docProps/custom.xml><?xml version="1.0" encoding="utf-8"?>
<Properties xmlns="http://schemas.openxmlformats.org/officeDocument/2006/custom-properties" xmlns:vt="http://schemas.openxmlformats.org/officeDocument/2006/docPropsVTypes"/>
</file>