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18. martā (prot. Nr. 11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18. aprīļa noteikumos Nr. 198 "Tiešo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18. aprīļa noteikumos Nr. 198 "Tiešo maksājumu piešķiršanas kārtība lauksaimniekiem" (Latvijas Vēstnesis, 2023, 77., 136., 153., 183., 213., 237. nr.; 2024, 72., 213.,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ekoshēmas atbalstu par ainavas elementu izveidi un saglabāšanu;".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Atbalsttiesīgas aramzemes platība ietver aramzemes ieskautus ainavas elementus, tostarp agromežsaimniecības sistēmu elementus, ja to kopējā platība nepārsniedz 20 procentu no lauka bloka platības. Šie ainavas elementi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pastāvīgas biodaudzveidības salas – nelieli, ražošanā neizmantoti nogabali ar dabisko veģetāciju, kuros var būt koku un krūmu dzinumi, bet kuros nav invazīvo latvāņu ģints augu, kam izveidojušās ziedkopas;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dīķi un to piekrastes veģetācija, kurā var būt koku un krūmu dzinumi, bet nav invazīvo latvāņu ģints augu, kam izveidojušās ziedkopas;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koki, koku vai krūmu puduri, koku rindas ar ražošanā neizmantotām aizsargjoslām vai bez tām, ja attiecīgais nogabals nav reģistrēts kā meža platība nekustamā īpašuma valsts kadastra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akmeņu kaudzes."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Aramzemes ieskauts ainavas elements atbilst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 starp ainavas elementu un lauka bloka malu ir vismaz 10 metru plata aramzemes josla, kurā notiek lauksaimnieciskā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 tas ir identificējams tālizpētes materiālos."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tajā aug vilkvālītes vai tā ir mitrzeme, kas laikposmā no 15. maija līdz 15. septembrim ir klāta ar ūdeni ilgāk nekā četras nedēļas pēc kārtas, ja vien šāda platība neaizņem daļu no lauka un nav deklarēta kā biodaudzveidības sala saskaņā ar šo noteikumu 13.1.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Saskaņā ar regulas 2022/126 48. panta 1. punktu ilggadīgo zālāju īpatsvara atsauces rādītājs ir 23,58 procenti, 2018. gada kopējo ilggadīgo zālāju platību – 406 816 hektārus – dalot ar kopējo lauksaimniecības zemes platību – 1 725 395 hektāriem."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aramzemi dziļāk par 20 centimetriem uzar ne biežāk kā vienu reizi piecos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61.1.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w:t>
      </w:r>
      <w:r w:rsidR="00000000" w:rsidRPr="00000000" w:rsidDel="00000000">
        <w:rPr>
          <w:vertAlign w:val="superscript"/>
          <w:rtl w:val="0"/>
        </w:rPr>
        <w:t xml:space="preserve">1</w:t>
      </w:r>
      <w:r w:rsidR="00000000" w:rsidRPr="00000000" w:rsidDel="00000000">
        <w:rPr>
          <w:rtl w:val="0"/>
        </w:rPr>
        <w:t xml:space="preserve"> ilggadīgo zālāju platībā zemi uzar ne biežāk kā vienu reizi piecos gados, ja to neaizliedz citi normatīvie akti, tostarp ekoloģiski jutīgo ilggadīgo zālāju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nav atļauta jaunu meliorācijas sistēmu būvniecība, izņemot: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61.2.1. 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hidroloģisko režīmu atjaunošana, un ir izsniegti tehniskie noteikumi, lai īstenotu videi saudzīgu meliorācijas sistēmu elementu izbūvi;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61.2.2. Eiropas nozīmes aizsargājamās dabas teritorijās (turpmāk – </w:t>
      </w:r>
      <w:r w:rsidR="00000000" w:rsidRPr="00000000" w:rsidDel="00000000">
        <w:rPr>
          <w:i w:val="1"/>
          <w:rtl w:val="0"/>
        </w:rPr>
        <w:t xml:space="preserve">Natura 2000</w:t>
      </w:r>
      <w:r w:rsidR="00000000" w:rsidRPr="00000000" w:rsidDel="00000000">
        <w:rPr>
          <w:rtl w:val="0"/>
        </w:rPr>
        <w:t xml:space="preserve"> teritorija) un īpaši aizsargājamās dabas teritorijās, ja to paredz īpaši aizsargājamās dabas teritorijas dabas aizsardzības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Atbilstoši regulas 2021/2115 III pielikumā noteiktajam 4. LLVS standartam lauksaimnieks aizsargjoslās (buferjoslās) nelieto mēslošanas un augu aizsardzības līdzekļus, izņemot bioloģiskās saimniekošanas praksē atļautos augu aizsardzības līdzekļus, ja vien to marķējumā nav noteikti attiecīgi lietošanas ierobežojumi, ja aizsargjoslas (buferjoslas) atrodas: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trīs metrus platā joslā gar ūdensnotekām (novadgrāvjiem), kuras iekļautas meliorācijas kadastrā, bet, ja ūdensnotekas (novadgrāvja) sateces baseina laukums nepārsniedz 10 km</w:t>
      </w:r>
      <w:r w:rsidR="00000000" w:rsidRPr="00000000" w:rsidDel="00000000">
        <w:rPr>
          <w:vertAlign w:val="superscript"/>
          <w:rtl w:val="0"/>
        </w:rPr>
        <w:t xml:space="preserve">2</w:t>
      </w:r>
      <w:r w:rsidR="00000000" w:rsidRPr="00000000" w:rsidDel="00000000">
        <w:rPr>
          <w:rtl w:val="0"/>
        </w:rPr>
        <w:t xml:space="preserve"> vai blakus esošā lauka slīpums nav lielāks par 10,5 procentiem, – vienu metru platā joslā."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72.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Kukurūzu var audzēt ilgāk nekā trīs gadus pēc kārtas, ja, sākot ar 2025. gadu, katru gadu kukurūzas laukā iesēj zālāju pasēju vai pēc kukurūzas novākšanas audzē starpkultūru. Zālāju pasēju iesēj ne vēlāk kā jūlijā un saglabā vismaz līdz nākamā gada 1. martam."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6.7.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"107.1. 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un Ventspils novads;".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Atbalstu brīvprātīgajās ekoshēmās saskaņā ar regulas 2021/2115 31. panta 2. punktu piešķir lauksaimniekam, kas nodarbojas ar lauksaimniecisko darbību, par platību, kura ir atbalsttiesīga ilgtspēju sekmējošā ienākumu pamatatbalsta saņemšanai, izņemot šo noteikumu 13. punktā minēto ainavu elementu platību, un kurā tiek ievēroti šo noteikumu 12. nodaļas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"141.4. 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15. septembrim, un to sējumu saglabā un neizmanto ganīšanai, lopbarības ieguvei vai ražas novākšanai vismaz divus mēnešus. Ģeotelpiskajā iesniegumā par kārtējo gadu un nākamo gadu attiecīgajā laukā deklarētais galvenais kultūraugs ir atšķirīgas sugas augs. Ja divu mēnešu termiņš beidzas līdz kārtējā gada 31. oktobrim un starpkultūra netiek saglabāta, lauksaimnieks,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fotoattēli uzglabājami paša izvēlētā elektroniskā uzskaites sistēmā vismaz trīs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144.5.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"144.5. augsnes kvalitātes un reakcijas optimizācijai izmantots augsnes optimizācijas materiāls, kas tā iegādes brīdī ir iekļauts Valsts augu aizsardzības dienesta Mēslošanas līdzekļu un substrātu sarakstā vai tiek tirgots citā Eiropas Savienības vai Eiropas Ekonomikas zonas dalībvalstī."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146.1.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"146.1.</w:t>
      </w:r>
      <w:r w:rsidR="00000000" w:rsidRPr="00000000" w:rsidDel="00000000">
        <w:rPr>
          <w:vertAlign w:val="superscript"/>
          <w:rtl w:val="0"/>
        </w:rPr>
        <w:t xml:space="preserve">1</w:t>
      </w:r>
      <w:r w:rsidR="00000000" w:rsidRPr="00000000" w:rsidDel="00000000">
        <w:rPr>
          <w:rtl w:val="0"/>
        </w:rPr>
        <w:t xml:space="preserve"> iegādātā materiāla neitralizācijas spēja, ja materiāls nav iekļauts Valsts augu aizsardzības dienesta Mēslošanas līdzekļu un substrātu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12.3.</w:t>
      </w:r>
      <w:r w:rsidR="00000000" w:rsidRPr="00000000" w:rsidDel="00000000">
        <w:rPr>
          <w:vertAlign w:val="superscript"/>
          <w:rtl w:val="0"/>
        </w:rPr>
        <w:t xml:space="preserve">1</w:t>
      </w:r>
      <w:r w:rsidR="00000000" w:rsidRPr="00000000" w:rsidDel="00000000">
        <w:rPr>
          <w:rtl w:val="0"/>
        </w:rPr>
        <w:t xml:space="preserve"> apakšnodaļu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"12.3.</w:t>
      </w:r>
      <w:r w:rsidR="00000000" w:rsidRPr="00000000" w:rsidDel="00000000">
        <w:rPr>
          <w:b w:val="1"/>
          <w:vertAlign w:val="superscript"/>
          <w:rtl w:val="0"/>
        </w:rPr>
        <w:t xml:space="preserve">1</w:t>
      </w:r>
      <w:r w:rsidR="00000000" w:rsidRPr="00000000" w:rsidDel="00000000">
        <w:rPr>
          <w:b w:val="1"/>
          <w:rtl w:val="0"/>
        </w:rPr>
        <w:t xml:space="preserve"> Ekoshēmas atbalsts par ainavas elementu izveidi un saglabāšanu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Ekoshēmas atbalstu par ainavas elementu izveidi un saglabāšanu piešķir par visiem saimniecības aramzemes hektāriem, ja saimniecības aramzemes ieskautu ainavas elementu kopējā platība ir vismaz viens procents no kopējās aramzemes platības, bet nav mazāka par 0,1 hektāru. Ainavas elementi atbilst šo noteikumu 13. punktā minētajām prasībām. Tie var būt arī aizsargājamie koki, dižakmeņi un alejas, kas aizsargājamas saskaņā ar normatīvajiem aktiem par īpaši aizsargājamo dabas teritoriju aizsardzību un izmantošanu. Aizsargājamās teritorijas robežas ir noteiktas dabas datu pārvaldības sistēmā "Ozols".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2</w:t>
      </w:r>
      <w:r w:rsidR="00000000" w:rsidRPr="00000000" w:rsidDel="00000000">
        <w:rPr>
          <w:rtl w:val="0"/>
        </w:rPr>
        <w:t xml:space="preserve"> Šo noteikumu 148.</w:t>
      </w:r>
      <w:r w:rsidR="00000000" w:rsidRPr="00000000" w:rsidDel="00000000">
        <w:rPr>
          <w:vertAlign w:val="superscript"/>
          <w:rtl w:val="0"/>
        </w:rPr>
        <w:t xml:space="preserve">1</w:t>
      </w:r>
      <w:r w:rsidR="00000000" w:rsidRPr="00000000" w:rsidDel="00000000">
        <w:rPr>
          <w:rtl w:val="0"/>
        </w:rPr>
        <w:t xml:space="preserve"> punktā minētie ainavas elementi ir deklarēti saskaņā ar šo noteikumu 252.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3</w:t>
      </w:r>
      <w:r w:rsidR="00000000" w:rsidRPr="00000000" w:rsidDel="00000000">
        <w:rPr>
          <w:rtl w:val="0"/>
        </w:rPr>
        <w:t xml:space="preserve"> Ainavas elementus saglabā visu kalendāra gadu, par kuru pieteikts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4</w:t>
      </w:r>
      <w:r w:rsidR="00000000" w:rsidRPr="00000000" w:rsidDel="00000000">
        <w:rPr>
          <w:rtl w:val="0"/>
        </w:rPr>
        <w:t xml:space="preserve"> Ja ainavas elements ir identificēts kā punktveida elements, ar ražošanu nesaistītu aizsargājamu koku un dižakmeņu platību aprēķina, piemērojot koeficientu 628 m</w:t>
      </w:r>
      <w:r w:rsidR="00000000" w:rsidRPr="00000000" w:rsidDel="00000000">
        <w:rPr>
          <w:vertAlign w:val="superscript"/>
          <w:rtl w:val="0"/>
        </w:rPr>
        <w:t xml:space="preserve">2</w:t>
      </w:r>
      <w:r w:rsidR="00000000" w:rsidRPr="00000000" w:rsidDel="00000000">
        <w:rPr>
          <w:rtl w:val="0"/>
        </w:rPr>
        <w:t xml:space="preserve">, bet atsevišķi augošu ar ražošanu nesaistītu koku platību –, piemērojot koeficientu 300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5</w:t>
      </w:r>
      <w:r w:rsidR="00000000" w:rsidRPr="00000000" w:rsidDel="00000000">
        <w:rPr>
          <w:rtl w:val="0"/>
        </w:rPr>
        <w:t xml:space="preserve"> Ja ainavas elementu platība atrodas vairāku lauksaimnieku valdījumā, katram lauksaimniekam piekritīgo ainavas elementu platību nosaka atbilstoši tā valdījumā esošajai ainavas elementa platībai.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6</w:t>
      </w:r>
      <w:r w:rsidR="00000000" w:rsidRPr="00000000" w:rsidDel="00000000">
        <w:rPr>
          <w:rtl w:val="0"/>
        </w:rPr>
        <w:t xml:space="preserve"> Lauksaimnieks pēc Lauku atbalsta dienesta pieprasījuma iesniedz pierādījumu, ka platība, ko aizņem šo noteikumu 148.</w:t>
      </w:r>
      <w:r w:rsidR="00000000" w:rsidRPr="00000000" w:rsidDel="00000000">
        <w:rPr>
          <w:vertAlign w:val="superscript"/>
          <w:rtl w:val="0"/>
        </w:rPr>
        <w:t xml:space="preserve">1</w:t>
      </w:r>
      <w:r w:rsidR="00000000" w:rsidRPr="00000000" w:rsidDel="00000000">
        <w:rPr>
          <w:rtl w:val="0"/>
        </w:rPr>
        <w:t xml:space="preserve"> punktā minētie ainavas elementi, atrodas viņa īpašumā vai tiesiskajā valdījumā (lietošanā) kārtējā gada 15. jūnijā.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7</w:t>
      </w:r>
      <w:r w:rsidR="00000000" w:rsidRPr="00000000" w:rsidDel="00000000">
        <w:rPr>
          <w:rtl w:val="0"/>
        </w:rPr>
        <w:t xml:space="preserve"> Ja pārbaudē saimniecībā Lauku atbalsta dienests konstatē deklarētā ainavas elementa neatbilstību šo noteikumu  prasībām, trūkstošo ainavas elementa platības lielumu var aizstāt ar citu platību, kas atbilst ainavas elementa nosacījumiem, lai nodrošinātu šo noteikumu 148.</w:t>
      </w:r>
      <w:r w:rsidR="00000000" w:rsidRPr="00000000" w:rsidDel="00000000">
        <w:rPr>
          <w:vertAlign w:val="superscript"/>
          <w:rtl w:val="0"/>
        </w:rPr>
        <w:t xml:space="preserve">1</w:t>
      </w:r>
      <w:r w:rsidR="00000000" w:rsidRPr="00000000" w:rsidDel="00000000">
        <w:rPr>
          <w:rtl w:val="0"/>
        </w:rPr>
        <w:t xml:space="preserve"> punkta nosacījumu izpildi.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155.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Lauksaimnieks, kas saimniecībā īsteno bioloģisko ražošanu, nesniedz šo noteikumu 155. punktā minēto informāciju par platību, kas pieteikta ekoshēmas atbalstam par saudzējošu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 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vismaz vienu reizi izmanto kādu no šādām metodēm: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157.1. tieša šķidrā organiskā mēslojuma – šķidrmēslu, vircas, digestāta – izkliedi un iestrādi ar lentveida izkliedētāju vai inžekcijas metodi, vienā hektārā iestrādājot vismaz 10 tonnu organiskā mēslojuma;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157.2. minerālmēslu precīzo izkliedi;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157.3. augu aizsardzības līdzekļu precīzo izsmidzināšanu."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161.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161.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Lauksaimnieks informāciju par izmantoto šķidrā organiskā mēslojuma, precīzo minerālmēslu izkliedes un augu aizsardzības līdzekļu tehnoloģisko iekārtu, ja šī informācija nav pieejama Valsts augu aizsardzības dienestā, kā arī informāciju par nomāto tehniku vai pakalpojuma sniedzēju, ja izkliedi neveic pats lauksaimnieks, līdz kārtējā gada 5. novembrim elektroniski iesniedz Lauku atbalsta dienestā, aizpildot veidlapu, kuras paraugs pieejams Lauku atbalsta dienesta elektroniskajā pieteikšanās sistēmā, vai augšupielādē Valsts augu aizsardzības dienesta uzturētajā informācijas sistēmā. Ja mēslošanas līdzekļus neizkliedē vai augu aizsardzības līdzekļus neizsmidzina pats lauksaimnieks, tas vismaz trīs gadus uzglabā un pēc pieprasījuma uzrāda Valsts augu aizsardzības dienestam dokumentus, kas apliecina ārpakalpojuma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161.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2</w:t>
      </w:r>
      <w:r w:rsidR="00000000" w:rsidRPr="00000000" w:rsidDel="00000000">
        <w:rPr>
          <w:rtl w:val="0"/>
        </w:rPr>
        <w:t xml:space="preserve"> Lauksaimnieks saimniecības uzskaites sistēmā (lauku vēsturē), kas izveidota atbilstoši normatīvajiem aktiem par prasībām ūdens, augsnes un gaisa aizsardzībai no lauksaimnieciskās darbības izraisīta piesārņojuma un par lauksaimniecības produktu integrētās audzēšanas, uzglabāšanas un marķēšanas prasībām un kontroles kārtību, norāda informāciju par šķidrā organiskā mēslojuma, minerālmēslu un augu aizsardzības līdzekļu izmantošanu saimniecībā par konkrētajiem laukiem un uzrāda to pēc pieprasījuma Valsts augu aizsardzības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163.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164.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165.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vertAlign w:val="superscript"/>
          <w:rtl w:val="0"/>
        </w:rPr>
        <w:t xml:space="preserve">1</w:t>
      </w:r>
      <w:r w:rsidR="00000000" w:rsidRPr="00000000" w:rsidDel="00000000">
        <w:rPr>
          <w:rtl w:val="0"/>
        </w:rPr>
        <w:t xml:space="preserve"> Saistību gads ilgst no 1. janvāra līdz 31. decembrim, bet, ja iepriekšējā gadā pirms saistību uzņemšanās ģeotelpiskajā iesniegumā attiecīgajā platībā ir deklarēts ilggadīgais zālājs (710. kods), aramzemē sētu stiebrzāļu vai lopbarības zālaugu (arī proteīnaugu) maisījums (720. kods), aramzemē sētu stiebrzāļu un tauriņziežu maisījums (760. kods), auzas ar stiebrzāļu vai tauriņziežu pasēju (141. kods), vasaras kvieši ar stiebrzāļu pasēju vai tauriņziežu pasēju (113. kods), ziemas kvieši ar stiebrzāļu pasēju vai tauriņziežu pasēju (117. kods), vasaras speltas kvieši ar stiebrzāļu pasēju vai tauriņziežu pasēju (118. kods), ziemas speltas kvieši ar stiebrzāļu pasēju vai tauriņziežu pasēju (119. kods), vasaras mieži  ar stiebrzāļu vai tauriņziežu pasēju (133. kods), ziemas mieži ar stiebrzāļu pasēju vai tauriņziežu pasēju (135. kods), rudzi ar stiebrzāļu pasēju vai tauriņziežu pasēju (124. kods), rudzu populācijas šķirnes, tostarp 'Kaupo', ar stiebrzāļu pasēju vai tauriņziežu pasēju (125. kods), vasaras tritikāle ar stiebrzāļu vai tauriņziežu pasēju (152. kods), ziemas tritikāle ar stiebrzāļu pasēju vai tauriņziežu pasēju (154. kods) vai graudaugu un zirņu maisījums, kurā zirņi nepārsniedz 50 procentu, ar stiebrzāļu vai tauriņziežu pasēju (446. kods), tad pēdējā saistību gadā attiecīgo platību var pārveidot, sākot no 15. jūlija."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167.1.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"167.1. par to ilggadīgo zālāju un aramzemē sēto zālāju platību, uz kuras ganību sezonā laikposmā no kārtējā gada 15. maija līdz 15. septembrim ganāmpulkā ir nodrošināts dzīvnieku vidējais blīvums vismaz 0,3 nosacītās liellopu vienības uz vienu ilggadīgā zālāja vai aramzemē sēta zālāja apstiprināto hektāru. Dzīvnieku vidējo blīvumu aprēķina saskaņā ar šo noteikumu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"178. Ekoshēmas atbalstu par agroekoloģijas praksi bioloģiskās saimniecībās piešķir par to ilggadīgo zālāju un aramzemē sēto zālāju platību, kurā ganību sezonā laikposmā no kārtējā gada 15. maija līdz 15. septembrim ganāmpulkā ir nodrošināts dzīvnieku vidējais blīvums vismaz 0,3 nosacītās liellopu vienības uz vienu ilggadīgā zālāja un aramzemē sēta zālāja hektāru. Dzīvnieku blīvumu aprēķina saskaņā ar šo noteikumu 5. pielikumu.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188.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Saistīto ienākumu atbalstu nepiešķir par šo noteikumu 13. punktā minēto ainavu elementu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Valsts augu aizsardzības dienests līdz nākamā gada 20.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218.1.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"218.1. attiecīgajā platībā tiek audzēti mīkstie kvieši (</w:t>
      </w:r>
      <w:r w:rsidR="00000000" w:rsidRPr="00000000" w:rsidDel="00000000">
        <w:rPr>
          <w:i w:val="1"/>
          <w:rtl w:val="0"/>
        </w:rPr>
        <w:t xml:space="preserve">Triticum aestivum </w:t>
      </w:r>
      <w:r w:rsidR="00000000" w:rsidRPr="00000000" w:rsidDel="00000000">
        <w:rPr>
          <w:rtl w:val="0"/>
        </w:rPr>
        <w:t xml:space="preserve">L.), speltas kvieši (</w:t>
      </w:r>
      <w:r w:rsidR="00000000" w:rsidRPr="00000000" w:rsidDel="00000000">
        <w:rPr>
          <w:i w:val="1"/>
          <w:rtl w:val="0"/>
        </w:rPr>
        <w:t xml:space="preserve">Triticum spelta</w:t>
      </w:r>
      <w:r w:rsidR="00000000" w:rsidRPr="00000000" w:rsidDel="00000000">
        <w:rPr>
          <w:rtl w:val="0"/>
        </w:rPr>
        <w:t xml:space="preserve"> L.), cietie kvieši (</w:t>
      </w:r>
      <w:r w:rsidR="00000000" w:rsidRPr="00000000" w:rsidDel="00000000">
        <w:rPr>
          <w:i w:val="1"/>
          <w:rtl w:val="0"/>
        </w:rPr>
        <w:t xml:space="preserve">Triticum turgidum </w:t>
      </w:r>
      <w:r w:rsidR="00000000" w:rsidRPr="00000000" w:rsidDel="00000000">
        <w:rPr>
          <w:rtl w:val="0"/>
        </w:rPr>
        <w:t xml:space="preserve">L. subsp. durum (Desf.) van Slageren), rudzi (</w:t>
      </w:r>
      <w:r w:rsidR="00000000" w:rsidRPr="00000000" w:rsidDel="00000000">
        <w:rPr>
          <w:i w:val="1"/>
          <w:rtl w:val="0"/>
        </w:rPr>
        <w:t xml:space="preserve">Secale cereale </w:t>
      </w:r>
      <w:r w:rsidR="00000000" w:rsidRPr="00000000" w:rsidDel="00000000">
        <w:rPr>
          <w:rtl w:val="0"/>
        </w:rPr>
        <w:t xml:space="preserve">L.),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w:t>
      </w:r>
      <w:r w:rsidR="00000000" w:rsidRPr="00000000" w:rsidDel="00000000">
        <w:rPr>
          <w:rtl w:val="0"/>
        </w:rPr>
        <w:t xml:space="preserve">L.), sējas auzas (</w:t>
      </w:r>
      <w:r w:rsidR="00000000" w:rsidRPr="00000000" w:rsidDel="00000000">
        <w:rPr>
          <w:i w:val="1"/>
          <w:rtl w:val="0"/>
        </w:rPr>
        <w:t xml:space="preserve">Avena sativa </w:t>
      </w:r>
      <w:r w:rsidR="00000000" w:rsidRPr="00000000" w:rsidDel="00000000">
        <w:rPr>
          <w:rtl w:val="0"/>
        </w:rPr>
        <w:t xml:space="preserve">L.),  kailgraudu auzas (</w:t>
      </w:r>
      <w:r w:rsidR="00000000" w:rsidRPr="00000000" w:rsidDel="00000000">
        <w:rPr>
          <w:i w:val="1"/>
          <w:rtl w:val="0"/>
        </w:rPr>
        <w:t xml:space="preserve">Avena nuda</w:t>
      </w:r>
      <w:r w:rsidR="00000000" w:rsidRPr="00000000" w:rsidDel="00000000">
        <w:rPr>
          <w:rtl w:val="0"/>
        </w:rPr>
        <w:t xml:space="preserve"> L.) un griķi (</w:t>
      </w:r>
      <w:r w:rsidR="00000000" w:rsidRPr="00000000" w:rsidDel="00000000">
        <w:rPr>
          <w:i w:val="1"/>
          <w:rtl w:val="0"/>
        </w:rPr>
        <w:t xml:space="preserve">Fagopyrum esculentum </w:t>
      </w:r>
      <w:r w:rsidR="00000000" w:rsidRPr="00000000" w:rsidDel="00000000">
        <w:rPr>
          <w:rtl w:val="0"/>
        </w:rPr>
        <w:t xml:space="preserve">Moench);".</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221.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"224.1. attiecīgajā platībā tiek audzēts pļavas timotiņš, pļavas auzene, hibrīdā airene, daudzziedu viengadīgā airene, sarkanā auzene, ganību airene, niedru auzene, pļavas skarene, kamolzāle, auzeņairene, sarkanais āboliņš, baltais āboliņš, inkarnāta āboliņš, austrumu galega, lucerna, bastarda āboliņš, facēlija, ragainie vanagnadziņi, zirņi, vīķi, lauka pupas, lupīna (saldā jeb dzeltenā, baltā vai šaurlapu), velna auzas, sorgo, Sudānas zāle, sorgo hibrīdi, kas radušies, krustojot sorgo un Sudānas zāli, eļļas rutks vai esparsete;".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"227. 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256.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"256. Ja lauksaimnieks nokavē šo noteikumu 146., 155. un 161.</w:t>
      </w:r>
      <w:r w:rsidR="00000000" w:rsidRPr="00000000" w:rsidDel="00000000">
        <w:rPr>
          <w:vertAlign w:val="superscript"/>
          <w:rtl w:val="0"/>
        </w:rPr>
        <w:t xml:space="preserve">1</w:t>
      </w:r>
      <w:r w:rsidR="00000000" w:rsidRPr="00000000" w:rsidDel="00000000">
        <w:rPr>
          <w:rtl w:val="0"/>
        </w:rPr>
        <w:t xml:space="preserve"> punktā norādīto termiņu ne ilgāk kā par 10 darbdienām, piešķiramo atbalstu samazina par vienu procentu par katru nokavēto darbdienu. Pēc šī termiņa pārsniegšanas attiecīgo atbalsta iesniegumu noraida."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"276. Platību uzraudzības (monitoringa) sistēmā ir iekļaujams ilgtspēju sekmējošais ienākumu pamatatbalsts, maksājums mazajiem lauksaimniekiem, ilgtspēju sekmējošais pārdalošais ienākumu papildatbalsts, ienākumu papildatbalsts gados jauniem lauksaimniekiem, ekoshēmas atbalsts par videi un klimatam labvēlīgu lauksaimniecības praksi, ekoshēmas atbalsts par agroekoloģijas praksi bioloģiskās saimniecībās, saistīto ienākumu atbalsts par cietes kartupeļiem, saistīto ienākumu atbalsts par sertificētas sēklas kartupeļiem, saistīto ienākumu atbalsts par sertificētām labības sēklām, saistīto ienākumu atbalsts par sertificētām stiebrzāļu un lopbarības augu sēklām, saistīto ienākumu atbalsts par vasaras rapsi un vasaras ripsi, saistīto ienākumu atbalsts par miežiem, saistīto ienākumu atbalsts par rudzu populācijas šķirnēm un šo intervenču atbilstības un atbalsttiesīgas lauksaimniecības zemes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"311.7. summu, kas iegūta, piemērojot šo noteikumu 311.5. un 311.6. apakšpunkta nosacījumus, izmanto par bāzi atbalsta samazinājuma aprēķināšanai saskaņā ar šo noteikumu 14.10. un 14.11.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349.1.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"349.1. par 0,5 procentiem, ja platību uzraudzības sistēmas pārbaudēs tiek konstatēta netīša neatbilstība saskaņā ar 2022/1172 9. panta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349.6.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"349.6. par konstatētās neatbilstības samazinājuma procentu, kas reizināts ar trīs, bet nepārsniedz 10 procentu, ja viena un tā pati neatbilstība turpina pastāvēt vai atkārtojas vienu reizi trīs secīgos kalendāra gados saskaņā ar regulas 2021/2116 85.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352.1.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"352.1. vienu procentu, ja platība, kurā konstatēta neatbilstība, pārsniedz 0,3 hektārus un veido līdz trim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352.2.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"352.2. trim procentiem, ja platība, kurā konstatēta neatbilstība, pārsniedz 0,3 hektārus un ir lielāka par trim procentiem, bet nepārsniedz 20 procentu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352.3.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"352.3. pieciem procentiem, ja platība, kurā konstatēta neatbilstība, pārsniedz 0,3 hektārus un ir lielāka par 20 procentiem no platības, uz kuru attiecināma konkrētā prasība;".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352.4.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"352.4. konstatētās neatbilstības samazinājuma procentu, kas reizināts ar trīs, bet nepārsniedz 10 procentu, ja attiecīgais pienākums nav izpildīts vai konkrētā neatbilstība atkārtojas vienu reizi trīs secīgos kalendāra gados;".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352.6.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"352.6. 10 procentiem, ja nav nodrošināta pārveidotā vai izveidotā ilggadīgā zālāja saglabāšana vismaz piecus secīgus gadus pēc tā atkārtotas pārveidošanas vai izveidošanas atbilstoši šo noteikumu 57.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353.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Konstatējot neatbilstību 2. LLVS, 3. LLVS, 7. LLVS un 9. LLVS standarta prasībām,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353.1. vienu procentu, ja platība, kurā konstatēta neatbilstība, pārsniedz 0,3 hektārus un veido līdz trim procentiem no platības, uz kuru attiecināma konkrētā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353.2. trim procentiem, ja platība, kurā konstatēta neatbilstība, pārsniedz 0,3 hektārus un ir lielāka par trim procentiem, bet nepārsniedz 20 procentu no platības, uz kuru attiecināma konkrētā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353.3. pieciem procentiem, ja platība, kurā konstatēta neatbilstība, pārsniedz 0,3 hektārus un ir lielāka par 20 procentiem no platības, uz kuru attiecināma konkrētā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353.4. 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353.5. 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353.6.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354.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Konstatējot neatbilstību 6.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354.1. vienu procentu, ja platība, kurā konstatēta neatbilstība, pārsniedz 0,3 hektārus un veido līdz trim procentiem no platības, uz kuru attiecināma konkrētā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354.2. trim procentiem, ja platība, kurā konstatēta neatbilstība, pārsniedz 0,3 hektārus un ir lielāka par trim procentiem, bet nepārsniedz 20 procentu no platības, uz kuru attiecināma konkrētā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354.3. pieciem procentiem, ja platība, kurā konstatēta neatbilstība, pārsniedz 0,3 hektārus un ir lielāka par 20 procentiem no platības, uz kuru attiecināma konkrētā prasība;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354.4. 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354.5. 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354.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1</w:t>
      </w:r>
      <w:r w:rsidR="00000000" w:rsidRPr="00000000" w:rsidDel="00000000">
        <w:rPr>
          <w:rtl w:val="0"/>
        </w:rPr>
        <w:t xml:space="preserve"> Ja tiek konstatētas neatbilstības vairākām prasībām, kas noteiktas saskaņā ar 7. LLVS standartu, tās uzskatāmas par vienu neatbilstību un par to piemērojams augstākais aprēķinātais atbalsta samazinājuma procents."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357.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"357. Valsts budžetā ieskaita 25 procentus no summas, kas radusies, samazinot vai nepiešķirot tiešo maksājumu par konstatētajām nosacījumu sistēmas neatbilstībām, saskaņā ar regulas 2021/2116 86.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379.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"379. Šo noteikumu 36.5. apakšpunktā minētais atbalsta pretendents, kura lauksaimniecības zemes platība nepārsniedz 20 hektāru, 2024., 2025., 2026. un 2027. gadā uzskatāms par vienu darbaspēka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Papildināt ar 403.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"403. 2025. gadā šo noteikumu 252. punktā minēto iesniegumu Lauku atbalsta dienesta elektroniskajā pieteikšanās sistēmā iesniedz līdz kārtējā gada 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 13.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 18.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22.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24.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25-TA-131</w:t>
    </w:r>
    <w:r>
      <w:br/>
    </w:r>
    <w:r w:rsidR="00000000" w:rsidRPr="00000000" w:rsidDel="00000000">
      <w:rPr>
        <w:rtl w:val="0"/>
      </w:rPr>
      <w:t xml:space="preserve">Izdrukāts 29.07.2026. 21.08 - 2.0.VK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25-TA-131</w:t>
    </w:r>
    <w:r>
      <w:br/>
    </w:r>
    <w:r w:rsidR="00000000" w:rsidRPr="00000000" w:rsidDel="00000000">
      <w:rPr>
        <w:rtl w:val="0"/>
      </w:rPr>
      <w:t xml:space="preserve">Izdrukāts 29.07.2026. 21.08 - 2.0.VK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noteikumu_(grozījumu)_projekts_25-TA-131.docx</dc:title>
</cp:coreProperties>
</file>

<file path=docProps/custom.xml><?xml version="1.0" encoding="utf-8"?>
<Properties xmlns="http://schemas.openxmlformats.org/officeDocument/2006/custom-properties" xmlns:vt="http://schemas.openxmlformats.org/officeDocument/2006/docPropsVTypes"/>
</file>