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643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4. novembrī (prot. Nr. 46 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20. decembra noteikumos Nr. 812 "Oficiālās statistikas veidlapu paraugu apstiprināšanas un veidlapu aizpildīšanas un iesniegšanas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Statistikas likuma</w:t>
      </w:r>
      <w:r w:rsidR="00000000" w:rsidRPr="00000000" w:rsidDel="00000000">
        <w:rPr>
          <w:rStyle w:val="paragraph"/>
          <w:i w:val="1"/>
          <w:rtl w:val="0"/>
        </w:rPr>
        <w:t xml:space="preserve"> 11.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20. decembra noteikumos Nr. 812 "Oficiālās statistikas veidlapu paraugu apstiprināšanas un veidlapu aizpildīšanas un iesniegšanas noteikumi" (Latvijas Vēstnesis, 2016, 251. nr.; 2017, 255. nr.; 2019, 34. nr.; 2020, 7., 230. nr.; 2021, 249. nr.; 2022, 230. nr.; 2023, 228. nr.; 2024, 242.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veidlapa Nr. 1-puķes un stādi "Pārskats par puķkopību un stādu audzēšanu", kura nodrošina arī Eiropas Parlamenta un Padomes 2022. gada 23. novembra Regulas (ES) Nr. 2022/2379 par statistiku par lauksaimniecības ielaidi un izlaidi un ar ko groza Komisijas Regulu (EK) Nr. 617/2008 un atceļ Eiropas Parlamenta un Padomes Regulas (EK) Nr. 1165/2008, (EK) Nr. 543/2009 un (EK) Nr. 1185/2009 un Padomes Direktīvu 96/16/EK (Dokuments attiecas uz EEZ) (turpmāk – Eiropas Parlamenta un Padomes Regula Nr. 2022/2379), un Komisijas 2023. gada 25. jūlija Īstenošanas regulas (ES) Nr. 2023/1538, ar ko paredz noteikumus par to, kā Eiropas Parlamenta un Padomes Regulu (ES) 2022/2379 piemēro attiecībā uz augkopības produkcijas statistiku (Dokuments attiecas uz EEZ) (turpmāk – Komisijas Īstenošanas regula Nr. 2023/1538), prasību piemērošanu (24.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 veidlapa Nr. 1-r (piens) "Pārskats par piena pārstrādi 20__. gadā", kura nodrošina arī Eiropas Parlamenta un Padomes Regulas Nr. 2022/2379 un Komisijas 2023. gada 8. decembra Īstenošanas regulas (ES) Nr. 2023/2745, ar ko paredz noteikumus par to, kā Eiropas Parlamenta un Padomes Regulu (ES) 2022/2379 piemēro attiecībā uz lopkopības produkcijas statistiku (Dokuments attiecas uz EEZ) (turpmāk – Komisijas Īstenošanas regula Nr. 2023/2745), prasību piemērošanu (25.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"2.29. veidlapa Nr. 1-VA "Pārskats par līdzekļu izlietojumu dabas resursu un vides aizsardzībai 20__. gadā", kura nodrošina arī Eiropas Parlamenta un Padomes 2011. gada 6. jūlija (ES) Regulas Nr. 691/2011 par Eiropas vides ekonomiskajiem kontiem (Dokuments attiecas uz EEZ) (turpmāk – Eiropas Parlamenta un Padomes Regula Nr. 691/2011) un Eiropas Parlamenta un Padomes 2014. gada 16. aprīļa Regulas (ES) Nr. 538/2014, ar ko groza Regulu (ES) Nr. 691/2011 par Eiropas vides ekonomiskajiem kontiem, prasību piemērošanu (29.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2.37.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"2.37. veidlapa Nr. 2-LS "Augkopība 20__. gadā", kura nodrošina arī Eiropas Parlamenta un Padomes Regulas Nr. 2022/2379 un Komisijas Īstenošanas regulas Nr. 2023/1538 prasību piemērošanu (37.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"2.44. veidlapa Nr. 3-LS "Lopkopība 20__. gadā", kura nodrošina arī Eiropas Parlamenta un Padomes Regulas Nr. 2022/2379 un Komisijas Īstenošanas regulas Nr. 2023/2745 prasību piemērošanu (44.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2.49.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2.70.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"2.70. veidlapa Nr. 1-putnkopība "Pārskats par putnkopību", kura nodrošina arī Eiropas Parlamenta un Padomes Regulas Nr. 2022/2379 un Komisijas 2023. gada 31. jūlija Īstenošanas regulas (ES) Nr. 2023/1579, ar ko paredz noteikumus par to, kā Eiropas Parlamenta un Padomes Regulu (ES) 2022/2379 piemēro attiecībā uz lauksaimniecības produktu cenu statistiku (turpmāk – Komisijas Īstenošanas regula Nr. 2023/1579), prasību piemērošanu (70.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veidlapa Nr. 21-LS (augkopība) "Pārskats par augkopības produktu pārdošanu", kura nodrošina arī Eiropas Parlamenta un Padomes Regulas Nr. 138/2004, Eiropas Parlamenta un Padomes Regulas Nr. 2022/2379 un Komisijas Īstenošanas regulas Nr. 2023/1579 prasību piemērošanu (81.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veidlapa Nr. 1-inkubācija "Pārskats par inkubāciju", kura nodrošina arī Komisijas 1987. gada 22. decembra Regulas (EEK) Nr. 3987/87, ar ko kombinētās nomenklatūras ieviešanas rezultātā groza dažādas regulas, kas nodrošina tirgu kopīgas organizācijas vienotu īstenošanu olu un mājputnu gaļas nozarē, un Komisijas Regulas Nr. 617/2008, Eiropas Parlamenta un Padomes Regulas Nr. 2022/2379 un Komisijas Īstenošanas regulas Nr. 2023/2745 prasību piemērošanu (93.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"2.94. veidlapa Nr. 1-piens "Pārskats par piena produktu ražošanu", kura nodrošina arī Eiropas Parlamenta un Padomes Regulas Nr. 2022/2379 un Komisijas Īstenošanas regulas Nr. 2023/2745 prasību piemērošanu (94.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2.109.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"2.109. veidlapa Nr. 11-iepirkums "Pārskats par lauksaimniecības dzīvnieku iepirkumu un kaušanu", kura nodrošina arī Eiropas Parlamenta un Padomes Regulas Nr. 2022/2379 un Komisijas Īstenošanas regulas Nr. 2023/2745 prasību piemērošanu (109.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2.116.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"2.116. veidlapa Nr. IKT-personas "Interneta lietošana 2026. gadā", kura nodrošina arī Eiropas Parlamenta un Padomes Regulas Nr. 2019/1700 prasību piemērošanu (116.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2.120.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2.137.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2.144.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"2.144. veidlapa Nr. 1-pesticīdi "Pesticīdu lietošana kultūraugu sējumos un stādījumos", kura nodrošina arī Eiropas Parlamenta un Padomes Regulas Nr. 2022/2379 un Komisijas 2023. gada 25. jūlija Īstenošanas regulas (ES) Nr. 2023/1537, ar ko paredz noteikumus par to, kā Eiropas Parlamenta un Padomes Regulu (ES) 2022/2379 piemēro attiecībā uz statistiku par augu aizsardzības līdzekļu izmantošanu, kas pārejas režīma laikā no 2025. līdz 2027. gadam jānosūta par 2026. pārskata gadu, un attiecībā uz statistiku par tirgū laistajiem augu aizsardzības līdzekļiem (Dokuments attiecas uz EEZ), prasību piemērošanu (144.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2.151.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"2.151. veidlapa Nr. 1-EPM "Apsekojums par energoresursu patēriņu mājsaimniecībās 2025. gadā", kura nodrošina arī Eiropas Parlamenta un Padomes Regulas Nr. 1099/2008 un Komisijas 2014. gada 24. aprīļa Regulas (ES) Nr. 431/2014, ar ko attiecībā uz ikgadējās statistikas īstenošanu par enerģijas patēriņu mājsaimniecībās groza Eiropas Parlamenta un Padomes Regulu (EK) Nr. 1099/2008 par enerģētikas statistiku, prasību piemērošanu (151.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2.155.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 2.156.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2.161.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 2.162.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 2.163.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 2.166.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 2.167.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 2.168.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2.169.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 2.171.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 2.173.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2.175.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"2.175. veidlapa Nr. 4-EU-SILC (2026) "Darba tirgus un mājoklis, pārmērīgas parādsaistības, patēriņš un labklājība", kura nodrošina arī Eiropas Parlamenta un Padomes Regulas Nr. 2019/1700, Komisijas 2024. gada 25. novembra Īstenošanas regulas (ES) Nr. 2024/2915, ar ko saskaņā ar Eiropas Parlamenta un Padomes Regulu (ES) 2019/1700 precizē izlases apsekojuma ienākumu un dzīves apstākļu jomā datu kopu par pārmērīgām parādsaistībām, patēriņu un labklājību tehniskos aspektus un groza Komisijas Īstenošanas regulu (ES) 2021/2052 (Dokuments attiecas uz EEZ), un Komisijas 2021. gada 24. novembra Īstenošanas regulas (ES) Nr. 2021/2052, ar ko saskaņā ar Eiropas Parlamenta un Padomes Regulu (ES) 2019/1700 precizē izlases apsekojuma ienākumu un dzīves apstākļu jomā datu kopu par "Darba tirgu un mājokļiem", "Priekšrocību un trūkumu pārmantošanu no paaudzes paaudzē" un "Mājokļa grūtībām" tehniskos aspektus un 2023. gada </w:t>
      </w:r>
      <w:r w:rsidR="00000000" w:rsidRPr="00000000" w:rsidDel="00000000">
        <w:rPr>
          <w:i w:val="1"/>
          <w:rtl w:val="0"/>
        </w:rPr>
        <w:t xml:space="preserve">ad hoc </w:t>
      </w:r>
      <w:r w:rsidR="00000000" w:rsidRPr="00000000" w:rsidDel="00000000">
        <w:rPr>
          <w:rtl w:val="0"/>
        </w:rPr>
        <w:t xml:space="preserve">tematu "Mājsaimniecību energoefektivitāte", prasību piemērošanu (175.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2.176.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"2.176. veidlapa Nr. ISA-2026 "2026. gada lauku saimniecību integrētās statistikas apsekojums", kura nodrošina arī Eiropas Parlamenta un Padomes 2018. gada 18. jūlija Regulas (ES) Nr. 2018/1091 par lauku saimniecību integrētu statistiku un ar ko atceļ Regulas (EK) Nr. 1166/2008 un (ES) Nr. 1337/2011, un Komisijas 2024. gada 25. novembra Īstenošanas regulas (ES) Nr. 2024/2914 par datiem, kas attiecībā uz mainīgo lielumu sarakstu un to aprakstu sniedzami par 2026. pārskata gadu saskaņā ar Eiropas Parlamenta un Padomes Regulu (ES) 2018/1091 par lauku saimniecību integrētu statistiku (Dokuments attiecas uz EEZ), prasību piemērošanu (176.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2.177.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"2.177. veidlapa 2-DSA (2026) "Darbs digitālajās platformās", kura nodrošina arī Eiropas Parlamenta un Padomes Regulas Nr. 2019/1700, Komisijas Īstenošanas regulas Nr. 2019/2240 un Komisijas 2024. gada 15. novembra Īstenošanas regulas (ES) Nr. 2024/2887, ar ko saskaņā ar Eiropas Parlamenta un Padomes Regulu (ES) 2019/1700 precizē darbaspēka jomas 2026. gada </w:t>
      </w:r>
      <w:r w:rsidR="00000000" w:rsidRPr="00000000" w:rsidDel="00000000">
        <w:rPr>
          <w:i w:val="1"/>
          <w:rtl w:val="0"/>
        </w:rPr>
        <w:t xml:space="preserve">ad hoc </w:t>
      </w:r>
      <w:r w:rsidR="00000000" w:rsidRPr="00000000" w:rsidDel="00000000">
        <w:rPr>
          <w:rtl w:val="0"/>
        </w:rPr>
        <w:t xml:space="preserve">temata "Digitālo platformu nodarbinātība" datu kopas tehniskos aspektus (Dokuments attiecas uz EEZ), prasību piemērošanu (177.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2.178.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"2.178. veidlapa Nr. 1-VA konsolidētais "Konsolidētais pārskats par līdzekļu izlietojumu dabas resursu un vides aizsardzībai 20__. gadā", kura nodrošina arī Eiropas Parlamenta un Padomes Regulas Nr. 691/2011 un Komisijas 2024. gada 2. septembra Deleģētās regulas (ES) Nr. 2025/472, ar ko attiecībā uz atsaucēm uz NACE saimniecisko darbību statistisko klasifikāciju, kas izveidota ar Eiropas Parlamenta un Padomes Regulu (EK) Nr. 1893/2006, groza Eiropas Parlamenta un Padomes Regulu (ES) Nr. 691/2011 (Dokuments attiecas uz EEZ), prasību piemērošanu (178.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2.179.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"2.179. veidlapa Nr. 4-gada "Kompleksais pārskats par darbību 20__. gadā", kura nodrošina arī Eiropas Parlamenta un Padomes Regulas Nr. 2019/2152 prasību piemērošanu (179.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Šo noteikumu 2.37., 2.44., 2.110., 2.111., 2.112., 2.114., 2.115., 2.116., 2.117., 2.150., 2.151., 2.157., 2.175. un 2.177. apakšpunktā minētās oficiālās statistikas veidlapas var aizpildīt pārvaldes intervētājs, pamatojoties uz respondenta mutiski sniegto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 informatīvajā atsaucē uz Eiropas Savienības direktīvām 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 informatīvajā atsaucē uz Eiropas Savienības direktīvām 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29.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32.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33.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37.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40.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44. pielikumu jaunā redakcijā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48. pielikumu jaunā redakcijā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 49.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75. pielikumu jaunā redakcijā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86. pielikumu jaunā redakcijā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88. pielikumu jaunā redakcijā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89. pielikumu jaunā redakcijā (</w:t>
      </w:r>
      <w:r w:rsidR="00000000" w:rsidRPr="00000000" w:rsidDel="00000000">
        <w:rPr>
          <w:rtl w:val="0"/>
        </w:rPr>
        <w:t xml:space="preserve">14.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90. pielikumu jaunā redakcijā (</w:t>
      </w:r>
      <w:r w:rsidR="00000000" w:rsidRPr="00000000" w:rsidDel="00000000">
        <w:rPr>
          <w:rtl w:val="0"/>
        </w:rPr>
        <w:t xml:space="preserve">15.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91. pielikumu jaunā redakcijā (</w:t>
      </w:r>
      <w:r w:rsidR="00000000" w:rsidRPr="00000000" w:rsidDel="00000000">
        <w:rPr>
          <w:rtl w:val="0"/>
        </w:rPr>
        <w:t xml:space="preserve">16.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93. pielikumu jaunā redakcijā (</w:t>
      </w:r>
      <w:r w:rsidR="00000000" w:rsidRPr="00000000" w:rsidDel="00000000">
        <w:rPr>
          <w:rtl w:val="0"/>
        </w:rPr>
        <w:t xml:space="preserve">17.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109. pielikumu jaunā redakcijā (</w:t>
      </w:r>
      <w:r w:rsidR="00000000" w:rsidRPr="00000000" w:rsidDel="00000000">
        <w:rPr>
          <w:rtl w:val="0"/>
        </w:rPr>
        <w:t xml:space="preserve">18.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112. pielikumu jaunā redakcijā (</w:t>
      </w:r>
      <w:r w:rsidR="00000000" w:rsidRPr="00000000" w:rsidDel="00000000">
        <w:rPr>
          <w:rtl w:val="0"/>
        </w:rPr>
        <w:t xml:space="preserve">19.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116. pielikumu jaunā redakcijā (</w:t>
      </w:r>
      <w:r w:rsidR="00000000" w:rsidRPr="00000000" w:rsidDel="00000000">
        <w:rPr>
          <w:rtl w:val="0"/>
        </w:rPr>
        <w:t xml:space="preserve">20.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117. pielikumu jaunā redakcijā (</w:t>
      </w:r>
      <w:r w:rsidR="00000000" w:rsidRPr="00000000" w:rsidDel="00000000">
        <w:rPr>
          <w:rtl w:val="0"/>
        </w:rPr>
        <w:t xml:space="preserve">21.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 120.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 137.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144. pielikumu jaunā redakcijā (</w:t>
      </w:r>
      <w:r w:rsidR="00000000" w:rsidRPr="00000000" w:rsidDel="00000000">
        <w:rPr>
          <w:rtl w:val="0"/>
        </w:rPr>
        <w:t xml:space="preserve">22.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151. pielikumu jaunā redakcijā (</w:t>
      </w:r>
      <w:r w:rsidR="00000000" w:rsidRPr="00000000" w:rsidDel="00000000">
        <w:rPr>
          <w:rtl w:val="0"/>
        </w:rPr>
        <w:t xml:space="preserve">23.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 155.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Svītrot 156.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 161.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 162.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Svītrot 163.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Izteikt 164. pielikumu jaunā redakcijā (</w:t>
      </w:r>
      <w:r w:rsidR="00000000" w:rsidRPr="00000000" w:rsidDel="00000000">
        <w:rPr>
          <w:rtl w:val="0"/>
        </w:rPr>
        <w:t xml:space="preserve">24.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Izteikt 165. pielikumu jaunā redakcijā (</w:t>
      </w:r>
      <w:r w:rsidR="00000000" w:rsidRPr="00000000" w:rsidDel="00000000">
        <w:rPr>
          <w:rtl w:val="0"/>
        </w:rPr>
        <w:t xml:space="preserve">25.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 166.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 167.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 168.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 169.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Svītrot 171.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 173.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Papildināt ar 175. pielikumu (</w:t>
      </w:r>
      <w:r w:rsidR="00000000" w:rsidRPr="00000000" w:rsidDel="00000000">
        <w:rPr>
          <w:rtl w:val="0"/>
        </w:rPr>
        <w:t xml:space="preserve">26.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Papildināt ar 176. pielikumu (</w:t>
      </w:r>
      <w:r w:rsidR="00000000" w:rsidRPr="00000000" w:rsidDel="00000000">
        <w:rPr>
          <w:rtl w:val="0"/>
        </w:rPr>
        <w:t xml:space="preserve">27.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Papildināt ar 177. pielikumu (</w:t>
      </w:r>
      <w:r w:rsidR="00000000" w:rsidRPr="00000000" w:rsidDel="00000000">
        <w:rPr>
          <w:rtl w:val="0"/>
        </w:rPr>
        <w:t xml:space="preserve">28.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Papildināt ar 178. pielikumu (</w:t>
      </w:r>
      <w:r w:rsidR="00000000" w:rsidRPr="00000000" w:rsidDel="00000000">
        <w:rPr>
          <w:rtl w:val="0"/>
        </w:rPr>
        <w:t xml:space="preserve">29.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Papildināt ar 179. pielikumu (</w:t>
      </w:r>
      <w:r w:rsidR="00000000" w:rsidRPr="00000000" w:rsidDel="00000000">
        <w:rPr>
          <w:rtl w:val="0"/>
        </w:rPr>
        <w:t xml:space="preserve">30.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25-TA-1633</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25-TA-1633</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noteikumu_(grozījumu)_projekts_25-TA-1633.docx</dc:title>
</cp:coreProperties>
</file>

<file path=docProps/custom.xml><?xml version="1.0" encoding="utf-8"?>
<Properties xmlns="http://schemas.openxmlformats.org/officeDocument/2006/custom-properties" xmlns:vt="http://schemas.openxmlformats.org/officeDocument/2006/docPropsVTypes"/>
</file>