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65. pantu, atbalstīt apropriācijas pārdali 13 509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šādām Iekšlietu ministrijas budžeta apakšprogrammām, lai segtu izdevumus, kas saistīti ar psiholoģiskā atbalsta kursa nodrošināšanu Ukrainas Valsts robežsardzes dienesta (</w:t>
      </w:r>
      <w:r w:rsidR="00000000" w:rsidRPr="00000000" w:rsidDel="00000000">
        <w:rPr>
          <w:i w:val="1"/>
          <w:rtl w:val="0"/>
        </w:rPr>
        <w:t xml:space="preserve">State Border Guard Service of Ukraine</w:t>
      </w:r>
      <w:r w:rsidR="00000000" w:rsidRPr="00000000" w:rsidDel="00000000">
        <w:rPr>
          <w:rtl w:val="0"/>
        </w:rPr>
        <w:t xml:space="preserve">) amatpersonām 2023. gada jūnijā: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apakšprogrammu 38.05.00. "Veselības aprūpe un fiziskā sagatavotība" 13 377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apakšprogrammu 40.02.00 "Nekustamais īpašums un centralizētais iepirkums" 132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23-TA-1737</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23-TA-1737</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rīkojuma_projekts_23-TA-1737.docx</dc:title>
</cp:coreProperties>
</file>

<file path=docProps/custom.xml><?xml version="1.0" encoding="utf-8"?>
<Properties xmlns="http://schemas.openxmlformats.org/officeDocument/2006/custom-properties" xmlns:vt="http://schemas.openxmlformats.org/officeDocument/2006/docPropsVTypes"/>
</file>