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25. aprīļa noteikumos Nr. 319 "Noteikumi par hidroelektrostaciju hidrotehnisko būvju valdītāja civiltiesiskās atbildības obligāto apdrošināšanu"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hidroelektrostaciju </w:t>
      </w:r>
      <w:r>
        <w:br/>
      </w:r>
      <w:r w:rsidR="00000000" w:rsidRPr="00000000" w:rsidDel="00000000">
        <w:rPr>
          <w:rStyle w:val="paragraph"/>
          <w:i w:val="1"/>
          <w:rtl w:val="0"/>
        </w:rPr>
        <w:t xml:space="preserve">hidrotehnisko būvju drošumu" 4.panta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25. aprīļa noteikumos Nr. 319 "Noteikumi par hidroelektrostaciju hidrotehnisko būvju valdītāja civiltiesiskās atbildības obligāto apdrošināšanu" (Latvijas Vēstnesis, 2006, 68. nr.; 2009, 181. nr.; 2013, 58., 178.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 klases hidrotehnisko būvju valdītāja civiltiesiskās atbildības apdrošināšanas minimālais atbildības limits par vienu apdrošināšanas gadījumu atsevišķi un par visiem apdrošināšanas gadījumiem kopā gada laikā nedrīkst būt mazāks par 700000,00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B klases hidrotehnisko būvju valdītāja civiltiesiskās atbildības apdrošināšanas minimālais atbildības limits par vienu apdrošināšanas gadījumu atsevišķi un par visiem apdrošināšanas gadījumiem kopā gada laikā nedrīkst būt mazāks par 70000,00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Apdrošināšanas atlīdzības apmērs tiek noteikts, pusēm vienojoties. Ja puses nespēj vienoties, strīdu izšķir Apdrošināšanas līguma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Mēneša laikā no dienas, kad saņemts apdrošināšanas gadījuma pieteikums un zaudējumu apmēru apstiprinoši dokumenti, apdrošinātājs pieņem lēmumu par apdrošināšanas atlīdzības izmaksu vai par atteikumu izmaksāt apdrošināšanas atlīdzību.  10 dienu laikā pēc lēmuma pieņemšanas apdrošinātājs par to informē apdrošināšanas gadījuma pieteikuma iesniedzēju un trešo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trešo personu neapmierina lēmums par apdrošināšanas atlīdzības izmaksu vai par atteikumu to izmaksāt, personai triju gadu laikā pēc attiecīgā lēmuma pieņemšanas ir tiesības celt prasību tiesā pret apdrošinātāju."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Par apdrošināšanas līguma apturēšanu vai izbeigšanu apdrošinātājs atkarībā no hidrotehniskās būves drošuma klases informē Būvniecības valsts kontroles biroju vai attiecīgās pašvaldības noteikto institūciju, kura pilda būvvaldes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Hidrotehnisko būvju valdītājam ir pienākums pēc Būvniecības valsts kontroles biroja vai attiecīgās pašvaldības noteiktas institūcijas, kura pilda būvvaldes funkcijas, pilnvarota darbinieka vai Valsts vides dienesta vides inspektora pirmā pieprasījuma uzrādīt hidrotehnisko būvju valdītāja civiltiesiskās atbildības apdrošināšanas polisi."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21-TA-739</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21-TA-739</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noteikumu_(grozījumu)_projekts_21-TA-739.docx</dc:title>
</cp:coreProperties>
</file>

<file path=docProps/custom.xml><?xml version="1.0" encoding="utf-8"?>
<Properties xmlns="http://schemas.openxmlformats.org/officeDocument/2006/custom-properties" xmlns:vt="http://schemas.openxmlformats.org/officeDocument/2006/docPropsVTypes"/>
</file>