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Uzņēmumu ienākuma nodokļa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Latvijas Vēstnesis, 2017, 156. nr.; 2018, 249. nr.; 2019, 62., 118. nr.; 2020, 29. nr.; 2021, 65.A, 193., 200. nr.; 2022, 69. nr.; 2023, 87., 247.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 pantu ar  piekto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Šā likuma 4.</w:t>
      </w:r>
      <w:r w:rsidR="00000000" w:rsidRPr="00000000" w:rsidDel="00000000">
        <w:rPr>
          <w:vertAlign w:val="superscript"/>
          <w:rtl w:val="0"/>
        </w:rPr>
        <w:t xml:space="preserve">2</w:t>
      </w:r>
      <w:r w:rsidR="00000000" w:rsidRPr="00000000" w:rsidDel="00000000">
        <w:rPr>
          <w:rtl w:val="0"/>
        </w:rPr>
        <w:t xml:space="preserve"> panta piemērošanai alternatīvā nodokļa likme ir 15 procenti no taksācijas periodā aprēķinātās ar nodokli apliekamās bāzes par šā likuma 4. panta otrās daļas 1. punkta “a” apakšpunkta objektu.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pants. Nodokļa piemērošana nodokļa maksātājiem, kuru dalībnieki ir tikai fiziskās personas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Neatkarīgi no šā likuma 3. panta pirmās daļas un 4. panta noteikumiem nodokļa maksātāji, kuru dalībnieki, taksācijas periodā, kurā tiek aprēķinātas dividendes, ir tikai fiziskās personas, taksācijas periodā aprēķinātajam šā likuma 4. panta otrās daļas 1. punkta “a” apakšpunkta objektam ir tiesīgi izvēlēties piemērot šā likuma 3. panta piektajā daļā noteikto alternatīvo nodokļa likmi.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Piemērojot šā panta pirmo daļu un nosakot taksācijas perioda ar uzņēmumu ienākuma nodokli apliekamo bāzi, ar uzņēmumu ienākuma nodokli apliekamā šā likuma 4. panta otrās daļas 1. punkta “a” apakšpunktā minētā objekta vērtību dala ar koeficientu 0,85."</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10.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Šā panta pirmo daļu nepiemēro procentu maksājumiem par: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Latvijā un citā Eiropas Savienības dalībvalstī vai Eiropas Ekonomikas zonas valstī emitētajiem vērtspapīriem, kas iekļauti tirdzniecībai tirdzniecības vietā, Finanšu instrumentu tirgus likuma izpratnē;</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finansējumu, kas piesaistīts ar Latvijā un citā Eiropas Savienības dalībvalstī vai Eiropas Ekonomikas zonas valstī reģistrēta un darbības atļauju saņēmuša kolektīvās finansēšanas pakalpojumu sniedzēja starpniecību Kolektīvās finansēšanas pakalpojumu likuma izpratnē (izņemot finansējumu, kuru izsniegusi ar nodokļa maksātāju saistīta persona);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finansējumu, kas piesaistīts ar Latvijā un citā Eiropas Savienības dalībvalstī vai Eiropas Ekonomikas zonas valstī licencētas ieguldījumu brokeru sabiedrības starpniecību Ieguldījumu brokeru sabiedrību likuma izpratnē (izņemot finansējumu, kuru izsniegusi ar nodokļa maksātāju saistīta persona);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Latvijā un citā Eiropas Savienības dalībvalstī vai Eiropas Ekonomikas zonas valstī reģistrētas vērtspapīrošanas sabiedrības Vērtspapīrošanas likuma izpratnē emitētajiem vērtspapīriem;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aizņēmumu, kas saņemts no Latvijā un citā Eiropas Savienības dalībvalstī vai Eiropas Ekonomikas zonas valstī reģistrēta un pārvaldīta alternatīvā ieguldījumu fonda Alternatīvo ieguldījumu fondu un to pārvaldnieku likuma izpratnē (izņemot slēgtā alternatīvā fonda, ja tā dalībnieks ir ar nodokļa maksātāju saistīta persona).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Šā panta pirmo daļu nepiemēro mērķsabiedrībām, kuras izveidotas saskaņā ar Publiskās un privātās partnerības likumu.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Papildināti likuma 16.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Nodokļa maksātājs, kas izvēlējies piemērot šā likuma 4.</w:t>
      </w:r>
      <w:r w:rsidR="00000000" w:rsidRPr="00000000" w:rsidDel="00000000">
        <w:rPr>
          <w:vertAlign w:val="superscript"/>
          <w:rtl w:val="0"/>
        </w:rPr>
        <w:t xml:space="preserve">2</w:t>
      </w:r>
      <w:r w:rsidR="00000000" w:rsidRPr="00000000" w:rsidDel="00000000">
        <w:rPr>
          <w:rtl w:val="0"/>
        </w:rPr>
        <w:t xml:space="preserve"> pantu, aprēķinot dalībniekiem šā likuma 4. panta otrās daļas 1. punkta “a” apakšpunktā minēto dividenžu izmaksu summas, ietur iedzīvotāju ienākuma nodokli saskaņā ar likumu “Par iedzīvotāju ienākuma nodokli”.”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53.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 Šā likuma 10. panta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daļa piemērojama sākot ar pārskata gadu, kas sākas 2028. gadā"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25-TA-700</w:t>
    </w:r>
    <w:r>
      <w:br/>
    </w:r>
    <w:r w:rsidR="00000000" w:rsidRPr="00000000" w:rsidDel="00000000">
      <w:rPr>
        <w:rtl w:val="0"/>
      </w:rPr>
      <w:t xml:space="preserve">Izdrukāts 29.07.2026. 23.57 - 3.0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25-TA-700</w:t>
    </w:r>
    <w:r>
      <w:br/>
    </w:r>
    <w:r w:rsidR="00000000" w:rsidRPr="00000000" w:rsidDel="00000000">
      <w:rPr>
        <w:rtl w:val="0"/>
      </w:rPr>
      <w:t xml:space="preserve">Izdrukāts 29.07.2026. 23.57 - 3.0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likumprojekts_(grozījumi)_25-TA-700.docx</dc:title>
</cp:coreProperties>
</file>

<file path=docProps/custom.xml><?xml version="1.0" encoding="utf-8"?>
<Properties xmlns="http://schemas.openxmlformats.org/officeDocument/2006/custom-properties" xmlns:vt="http://schemas.openxmlformats.org/officeDocument/2006/docPropsVTypes"/>
</file>