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22. februārī (prot. Nr. 8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50 102 337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saistīto prioritāro pasākumu ietvaros turpinātu infrastruktūras (žoga) izbūvi gar Latvijas Republikas un Krievijas Federācijas valsts robežu (apmēram 66,71 km posmā).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24-TA-394</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24-TA-394</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rīkojuma_projekts_24-TA-394.docx</dc:title>
</cp:coreProperties>
</file>

<file path=docProps/custom.xml><?xml version="1.0" encoding="utf-8"?>
<Properties xmlns="http://schemas.openxmlformats.org/officeDocument/2006/custom-properties" xmlns:vt="http://schemas.openxmlformats.org/officeDocument/2006/docPropsVTypes"/>
</file>