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2021.–2027. gadam 3.1. prioritātes "Ilgtspējīga TEN-T infrastruktūra" 3.1.1. specifiskā atbalsta mērķa "Attīstīt ilgtspējīgu, pret klimatu izturīgu, inteliģentu, drošu un vairākveidu TEN-T infrastruktūru" 3.1.1.1. pasākuma "Dzelzceļa transporta attīstība un energoefektivitātes uzlabošana sabiedriskajos pasažieru pārvadājumos" un 3.1.1.3. pasākuma "Eiropas transporta tīklā esošās dzelzceļa infrastruktūras attīstība"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veikt projektu Nr. 6.2.1.2/21/I/001 “Dzelzceļa pasažieru infrastruktūras modernizācija” un Nr. 6.2.1.2/22/I/002 “Dzelzceļa infrastruktūras modernizācija vilcienu kustības ātruma paaugstināšanai” īstenošanai nepieciešamo Kohēzijas fonda  finansējuma 52 395 743 euro apmērā pārdali no Programmas 3.1.1.2. pasākuma “Valsts galveno autoceļu TEN-T tīklā attīstība”  pirms pozitīva Eiropas Komisijas lēmuma par Programmas grozījumiem.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informēt Ministru kabinetu par priekšlikumiem rīcībai gadījumā, ja netiek saņemts pozitīvs Eiropas Komisijas lēmums par Programmas grozījumiem.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23-TA-612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