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Kredītiestāžu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Kredītiestāžu likumā (Latvijas Republikas Saeimas un Ministru Kabineta Ziņotājs, 1995, 23. nr.; 1996, 9., 14., 23. nr.; 1997, 23. nr.; 1998, 13. nr.; 2000, 13. nr.; 2002, 10., 23. nr.; 2003, 14. nr.; 2004, 2., 12., 23. nr.; 2005, 13., 14. nr.; 2006, 15. nr.; 2007, 7., 12. nr.; 2008, 14., 23. nr.; 2009, 6., 7., 17., 22. nr.; Latvijas Vēstnesis, 2010, 23., 51./52., 160. nr.; 2011, 4. nr.; 2012, 50., 56., 92. nr.; 2013, 61., 106., 193. nr.; 2014, 92. nr.; 2015, 29., 97., 124., 140., 248., 251. nr.; 2016, 117., 241. nr.; 2017, 152., 222. nr.; 2018, 45., 225. nr.; 2019, 52., 129., 259.A nr.; 2020, 123., 138. nr.; 2021, 22., 84.B, 110., 121.B, 193., 200. nr.; 2022, 94., 204. nr.; 2023, 118. nr.; 2024, 38., 110., 120.A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10.</w:t>
      </w:r>
      <w:r w:rsidR="00000000" w:rsidRPr="00000000" w:rsidDel="00000000">
        <w:rPr>
          <w:vertAlign w:val="superscript"/>
          <w:rtl w:val="0"/>
        </w:rPr>
        <w:t xml:space="preserve">1</w:t>
      </w:r>
      <w:r w:rsidR="00000000" w:rsidRPr="00000000" w:rsidDel="00000000">
        <w:rPr>
          <w:rtl w:val="0"/>
        </w:rPr>
        <w:t xml:space="preserve"> panta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Latvijas Bankai ir tiesības pārbaudīt ārpakalpojumu sniedzēja darbību tā atrašanās vai ārpakalpojuma sniegšanas vietā, tai skaitā attiecībā uz Eiropas Parlamenta un Padomes 2022. gada 14. decembra Regulas (ES) 2022/2554 par finanšu nozares digitālās darbības noturību un ar ko groza Regulas (EK) Nr. 1060/2009, (ES) Nr. 648/2012, (ES) Nr. 600/2014, (ES) Nr. 909/2014 un (ES) 2016/1011(turpmāk – Regula Nr. 2022/2554) prasību ievērošanu - pieprasīt jebkādu dokumentu iesniegšanu un iepazīties ar visiem dokumentiem, grāmatvedības un dokumentu reģistriem, izgatavot dokumentu kopijas vai izrakstus, kā arī pieprasīt no ārpakalpojumu sniedzēja vai tā pārstāvjiem vai darbiniekiem paskaidrojumus un informāciju, kas saistīta ar ārpakalpojuma sniegšanu vai kas nepieciešama Latvijas Bankas funkciju veikšanai, kā arī iztaujāt jebkuru trešo personu, kas tam piekritusi, lai iegūtu informāciju par ārpakalpojumu sniedzēju.”.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34.</w:t>
      </w:r>
      <w:r w:rsidR="00000000" w:rsidRPr="00000000" w:rsidDel="00000000">
        <w:rPr>
          <w:vertAlign w:val="superscript"/>
          <w:rtl w:val="0"/>
        </w:rPr>
        <w:t xml:space="preserve">1</w:t>
      </w:r>
      <w:r w:rsidR="00000000" w:rsidRPr="00000000" w:rsidDel="00000000">
        <w:rPr>
          <w:rtl w:val="0"/>
        </w:rPr>
        <w:t xml:space="preserve">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Kredītiestāde izveido tīklu un informācijas sistēmu atbilstoši Regulas Nr. 2022/2554 un Finanšu tirgus digitālās darbības noturības likuma prasībām.”.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101.</w:t>
      </w:r>
      <w:r w:rsidR="00000000" w:rsidRPr="00000000" w:rsidDel="00000000">
        <w:rPr>
          <w:vertAlign w:val="superscript"/>
          <w:rtl w:val="0"/>
        </w:rPr>
        <w:t xml:space="preserve">3</w:t>
      </w:r>
      <w:r w:rsidR="00000000" w:rsidRPr="00000000" w:rsidDel="00000000">
        <w:rPr>
          <w:rtl w:val="0"/>
        </w:rPr>
        <w:t xml:space="preserve"> panta pirmo daļu ar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riskus, kas konstatēti digitālās darbības noturības testēšanā saskaņā ar Regulas Nr. 2022/2554 IV nodaļu.”.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informatīvo atsauci uz Eiropas Savienības direktīvām ar 31.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Eiropas Parlamenta un Padomes 2022. gada 14. decembra direktīvas (ES) 2022/2556 ar ko groza Direktīvas 2009/65/EK, 2009/138/EK, 2011/61/ES, 2013/36/ES, 2014/59/ES, 2014/65/ES, (ES) 2015/2366 un (ES) 2016/2341 attiecībā uz finanšu nozares digitālās darbības noturību.”.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17.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24-TA-2436</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24-TA-2436</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likumprojekts_(grozījumi)_24-TA-2436.docx</dc:title>
</cp:coreProperties>
</file>

<file path=docProps/custom.xml><?xml version="1.0" encoding="utf-8"?>
<Properties xmlns="http://schemas.openxmlformats.org/officeDocument/2006/custom-properties" xmlns:vt="http://schemas.openxmlformats.org/officeDocument/2006/docPropsVTypes"/>
</file>