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843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decembrī (prot. Nr. 53 85.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2013. gada 2. jūlija noteikumos Nr. 364 "Noteikumi par zvērināta tiesu izpildītāja rīcību ar bezmantinieku mantu"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Tiesu izpildītāju likuma</w:t>
      </w:r>
      <w:r>
        <w:br/>
      </w:r>
      <w:r w:rsidR="00000000" w:rsidRPr="00000000" w:rsidDel="00000000">
        <w:rPr>
          <w:rStyle w:val="paragraph"/>
          <w:i w:val="1"/>
          <w:rtl w:val="0"/>
        </w:rPr>
        <w:t xml:space="preserve">42. panta otro daļu un 73. panta trešo daļu,</w:t>
      </w:r>
      <w:r>
        <w:br/>
      </w:r>
      <w:r w:rsidR="00000000" w:rsidRPr="00000000" w:rsidDel="00000000">
        <w:rPr>
          <w:rStyle w:val="paragraph"/>
          <w:i w:val="1"/>
          <w:rtl w:val="0"/>
        </w:rPr>
        <w:t xml:space="preserve">Komerclikuma</w:t>
      </w:r>
      <w:r w:rsidR="00000000" w:rsidRPr="00000000" w:rsidDel="00000000">
        <w:rPr>
          <w:rStyle w:val="paragraph"/>
          <w:i w:val="1"/>
          <w:rtl w:val="0"/>
        </w:rPr>
        <w:t xml:space="preserve"> 191. panta trešo daļu un</w:t>
      </w:r>
      <w:r>
        <w:br/>
      </w:r>
      <w:r w:rsidR="00000000" w:rsidRPr="00000000" w:rsidDel="00000000">
        <w:rPr>
          <w:rStyle w:val="paragraph"/>
          <w:i w:val="1"/>
          <w:rtl w:val="0"/>
        </w:rPr>
        <w:t xml:space="preserve">238.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 </w:t>
      </w:r>
      <w:r w:rsidR="00000000" w:rsidRPr="00000000" w:rsidDel="00000000">
        <w:rPr>
          <w:rStyle w:val="paragraph"/>
          <w:i w:val="1"/>
          <w:rtl w:val="0"/>
        </w:rPr>
        <w:t xml:space="preserve">Meža likuma</w:t>
      </w:r>
      <w:r>
        <w:br/>
      </w:r>
      <w:r w:rsidR="00000000" w:rsidRPr="00000000" w:rsidDel="00000000">
        <w:rPr>
          <w:rStyle w:val="paragraph"/>
          <w:i w:val="1"/>
          <w:rtl w:val="0"/>
        </w:rPr>
        <w:t xml:space="preserve">44. panta astoto daļu, likuma "</w:t>
      </w:r>
      <w:r w:rsidR="00000000" w:rsidRPr="00000000" w:rsidDel="00000000">
        <w:rPr>
          <w:rStyle w:val="paragraph"/>
          <w:i w:val="1"/>
          <w:rtl w:val="0"/>
        </w:rPr>
        <w:t xml:space="preserve">Par īpaši</w:t>
      </w:r>
      <w:r>
        <w:br/>
      </w:r>
      <w:r w:rsidR="00000000" w:rsidRPr="00000000" w:rsidDel="00000000">
        <w:rPr>
          <w:rStyle w:val="paragraph"/>
          <w:i w:val="1"/>
          <w:rtl w:val="0"/>
        </w:rPr>
        <w:t xml:space="preserve">aizsargājamām dabas teritorijām</w:t>
      </w:r>
      <w:r w:rsidR="00000000" w:rsidRPr="00000000" w:rsidDel="00000000">
        <w:rPr>
          <w:rStyle w:val="paragraph"/>
          <w:i w:val="1"/>
          <w:rtl w:val="0"/>
        </w:rPr>
        <w:t xml:space="preserve">"</w:t>
      </w:r>
      <w:r>
        <w:br/>
      </w:r>
      <w:r w:rsidR="00000000" w:rsidRPr="00000000" w:rsidDel="00000000">
        <w:rPr>
          <w:rStyle w:val="paragraph"/>
          <w:i w:val="1"/>
          <w:rtl w:val="0"/>
        </w:rPr>
        <w:t xml:space="preserve">38.</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trešo daļu, </w:t>
      </w:r>
      <w:r w:rsidR="00000000" w:rsidRPr="00000000" w:rsidDel="00000000">
        <w:rPr>
          <w:rStyle w:val="paragraph"/>
          <w:i w:val="1"/>
          <w:rtl w:val="0"/>
        </w:rPr>
        <w:t xml:space="preserve">Publiskas personas</w:t>
      </w:r>
      <w:r>
        <w:br/>
      </w:r>
      <w:r w:rsidR="00000000" w:rsidRPr="00000000" w:rsidDel="00000000">
        <w:rPr>
          <w:rStyle w:val="paragraph"/>
          <w:i w:val="1"/>
          <w:rtl w:val="0"/>
        </w:rPr>
        <w:t xml:space="preserve">mantas atsavināšanas likuma</w:t>
      </w:r>
      <w:r>
        <w:br/>
      </w:r>
      <w:r w:rsidR="00000000" w:rsidRPr="00000000" w:rsidDel="00000000">
        <w:rPr>
          <w:rStyle w:val="paragraph"/>
          <w:i w:val="1"/>
          <w:rtl w:val="0"/>
        </w:rPr>
        <w:t xml:space="preserve">5. panta desmito daļu un</w:t>
      </w:r>
      <w:r>
        <w:br/>
      </w:r>
      <w:r w:rsidR="00000000" w:rsidRPr="00000000" w:rsidDel="00000000">
        <w:rPr>
          <w:rStyle w:val="paragraph"/>
          <w:i w:val="1"/>
          <w:rtl w:val="0"/>
        </w:rPr>
        <w:t xml:space="preserve">Civillikuma</w:t>
      </w:r>
      <w:r w:rsidR="00000000" w:rsidRPr="00000000" w:rsidDel="00000000">
        <w:rPr>
          <w:rStyle w:val="paragraph"/>
          <w:i w:val="1"/>
          <w:rtl w:val="0"/>
        </w:rPr>
        <w:t xml:space="preserve"> 416. panta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2013. gada 2. jūlija noteikumos Nr. 364 "Noteikumi par zvērināta tiesu izpildītāja rīcību ar bezmantinieku mantu" (Latvijas Vēstnesis, 2013, 141., 199. nr.; 2016, 159. nr.; 2022, 9. nr.; 2023, 77. nr.; 2024, 237.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6.</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7</w:t>
      </w:r>
      <w:r w:rsidR="00000000" w:rsidRPr="00000000" w:rsidDel="00000000">
        <w:rPr>
          <w:rtl w:val="0"/>
        </w:rPr>
        <w:t xml:space="preserve"> Zvērināts tiesu izpildītājs nevērtē kreditora pretenzijas pamatotību, ja kreditors nav iemaksājis zvērināta tiesu izpildītāja depozīta kontā amata atlīdzību kreditora pretenziju pamatotības izvērtēšanai (šo noteikumu 6.</w:t>
      </w:r>
      <w:r w:rsidR="00000000" w:rsidRPr="00000000" w:rsidDel="00000000">
        <w:rPr>
          <w:vertAlign w:val="superscript"/>
          <w:rtl w:val="0"/>
        </w:rPr>
        <w:t xml:space="preserve">4</w:t>
      </w:r>
      <w:r w:rsidR="00000000" w:rsidRPr="00000000" w:rsidDel="00000000">
        <w:rPr>
          <w:rtl w:val="0"/>
        </w:rPr>
        <w:t xml:space="preserve"> punkts). Šādā gadījumā kreditora (arī nodrošinātā kreditora) pretenzija tiek uzskatīta par neatzītu. Ja neviens no kreditoriem šajos noteikumos noteiktajā kārtībā nav iemaksājis atlīdzību kreditora pretenziju pamatotības izvērtēšanai, zvērināts tiesu izpildītājs izbeidz lietu par bezmantinieka mantu un:</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7</w:t>
      </w:r>
      <w:r w:rsidR="00000000" w:rsidRPr="00000000" w:rsidDel="00000000">
        <w:rPr>
          <w:rtl w:val="0"/>
        </w:rPr>
        <w:t xml:space="preserve">1. paziņo par to šo noteikumu 14. punktā minētajai institūcijai, ja tas ir nekustamais īpašums;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7</w:t>
      </w:r>
      <w:r w:rsidR="00000000" w:rsidRPr="00000000" w:rsidDel="00000000">
        <w:rPr>
          <w:rtl w:val="0"/>
        </w:rPr>
        <w:t xml:space="preserve">2. paziņo par to valsts akciju sabiedrībai "Valsts nekustamie īpašumi", ja tā ir kustamā manta (izņemot šo noteikumu 6.</w:t>
      </w:r>
      <w:r w:rsidR="00000000" w:rsidRPr="00000000" w:rsidDel="00000000">
        <w:rPr>
          <w:vertAlign w:val="superscript"/>
          <w:rtl w:val="0"/>
        </w:rPr>
        <w:t xml:space="preserve">7</w:t>
      </w:r>
      <w:r w:rsidR="00000000" w:rsidRPr="00000000" w:rsidDel="00000000">
        <w:rPr>
          <w:rtl w:val="0"/>
        </w:rPr>
        <w:t xml:space="preserve">3. apakšpunktā minēto gadījumu), turpmākās rīcības nodrošināšanai;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7</w:t>
      </w:r>
      <w:r w:rsidR="00000000" w:rsidRPr="00000000" w:rsidDel="00000000">
        <w:rPr>
          <w:rtl w:val="0"/>
        </w:rPr>
        <w:t xml:space="preserve">3. paziņo par to Valsts ieņēmumu dienestam, ja mantas sastāvā ir finanšu līdzekļi vai finanšu instrumenti;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7</w:t>
      </w:r>
      <w:r w:rsidR="00000000" w:rsidRPr="00000000" w:rsidDel="00000000">
        <w:rPr>
          <w:rtl w:val="0"/>
        </w:rPr>
        <w:t xml:space="preserve">4. rīkojas šo noteikumu 105. punktā noteiktajā kārtībā, ja bezmantinieku manta ir pamatkapitāla daļas (akcijas).";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52.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Ja manta nav atrodama vai tā ir nederīga atsavināšanai, zvērināts tiesu izpildītājs par to sastāda aktu un nosūta to kreditoram un valsts akciju sabiedrībai "Valsts nekustamie īpašumi", norādot, ka šo aktu var pārsūdzēt Civilprocesa likuma 632. pantā noteiktajā kārtībā. Pēc tam, kad izbeidzies zvērināta tiesu izpildītāja sastādītā akta pārsūdzēšanas termiņš, bet, ja tas pārsūdzēts, – pēc tā tiesas nolēmuma stāšanās likumīgā spēkā, ar kuru akts nav atcelts, zvērināts tiesu izpildītājs izbeidz lietu par bezmantinieku mantu un paziņo par to valsts akciju sabiedrībai "Valsts nekustamie īpašumi".";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55.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Drošības naudas apmēru veido zvērināta tiesu izpildītāja amata atlīdzība (izņemot amata atlīdzību kreditora pretenziju pamatotības izvērtēšanai lietā par bezmantinieku mantu) un ar kustamās mantas apķīlāšanu un izsoles rīkošanu saistītie izdevumi, ko nosaka saskaņā ar noteikumiem par izpildu darbību veikšanai nepieciešamo izdevumu apmēru un to maksāšanas kārtību. Ja bezmantinieku mantas pārņemšanas un pārdošanas administrēšanas procesa ietvaros tajā pašā lietā zvērināta tiesu izpildītāja depozīta kontā jau iemaksāta drošības nauda, zvērināts tiesu izpildītājs, nosakot drošības naudas apmēru, tajā atkārtoti neiekļauj amata atlīdzību. Procesa laikā kreditors pēc zvērināta tiesu izpildītāja norādījuma iemaksā papildu summu nepieciešamo izdevumu segšanai. Ja kreditors zvērināta tiesu izpildītāja noteiktajā termiņā neiemaksā papildu summu nepieciešamo izdevumu segšanai, zvērināts tiesu izpildītājs var pārtraukt kustamās mantas atsavināšanu, izbeigt lietu par bezmantinieku mantu un paziņot par to valsts akciju sabiedrībai "Valsts nekustamie īpašumi" turpmākās rīcības nodrošināšanai, bet, ja mantas sastāvā ir finanšu līdzekļi vai finanšu instrumenti, – Valsts ieņēmumu dienestam.";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59.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 Zvērināts tiesu izpildītājs izbeidz lietu par bezmantinieku mantu un paziņo par to valsts akciju sabiedrībai "Valsts nekustamie īpašumi" turpmākās rīcības nodrošināšanai, bet, ja mantas sastāvā ir finanšu līdzekļi vai finanšu instrumenti, – Valsts ieņēmumu dienestam: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59.1. ja neviens no kreditoriem šo noteikumu 57. punktā minētajā gadījumā vai pēc otrās izsoles, kas atzīta par nenotikušu, pamatojoties uz šo noteikumu 87.1. vai 87.2. apakšpunktu, nepiesakās paturēt mantu sev;</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59.2. ja šo noteikumu 58. vai 93. punktā paredzētajā kārtībā vairāki kreditori vēlas paturēt kustamo mantu sev, bet neviens no tiem neiemaksā zvērināta tiesu izpildītāja depozīta kontā pirkuma nodrošinājuma summu 10 procentu apmērā no mantai noteiktās vērtības, neviens no tiem neierodas uz izsoli vai šajos noteikumos paredzētajā kārtībā nesamaksā nosolīto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99.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"99. Ja kreditori šajos noteikumos noteiktajā kārtībā nelūdz rīkot otro izsoli vai zvērināta tiesu izpildītāja noteiktajā termiņā neiemaksā depozīta kontā drošības naudu un zvērināts tiesu izpildītājs secina, ka kustamo mantu varētu būt neiespējami pārdot vai pārdošanas izmaksas varētu pārsniegt no pārdošanas iegūstamo naudas summu, zvērināts tiesu izpildītājs izbeidz lietu par bezmantinieku mantu un paziņo par to valsts akciju sabiedrībai "Valsts nekustamie īpašumi" turpmākās rīcības nodrošināšanai, bet, ja mantas sastāvā ir finanšu līdzekļi vai finanšu instrumenti, – Valsts ieņēmumu dienestam.";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101.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vertAlign w:val="superscript"/>
          <w:rtl w:val="0"/>
        </w:rPr>
        <w:t xml:space="preserve">1</w:t>
      </w:r>
      <w:r w:rsidR="00000000" w:rsidRPr="00000000" w:rsidDel="00000000">
        <w:rPr>
          <w:rtl w:val="0"/>
        </w:rPr>
        <w:t xml:space="preserve"> Šo noteikumu 55., 59. un 99. punktā paredzētajā gadījumā zvērināts tiesu izpildītājs Valsts ieņēmumu dienestam vai – attiecīgi – valsts akciju sabiedrībai "Valsts nekustamie īpašumi" nodod aktu.";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 Šo noteikumu 6.</w:t>
      </w:r>
      <w:r w:rsidR="00000000" w:rsidRPr="00000000" w:rsidDel="00000000">
        <w:rPr>
          <w:vertAlign w:val="superscript"/>
          <w:rtl w:val="0"/>
        </w:rPr>
        <w:t xml:space="preserve">1</w:t>
      </w:r>
      <w:r w:rsidR="00000000" w:rsidRPr="00000000" w:rsidDel="00000000">
        <w:rPr>
          <w:rtl w:val="0"/>
        </w:rPr>
        <w:t xml:space="preserve">, 6.</w:t>
      </w:r>
      <w:r w:rsidR="00000000" w:rsidRPr="00000000" w:rsidDel="00000000">
        <w:rPr>
          <w:vertAlign w:val="superscript"/>
          <w:rtl w:val="0"/>
        </w:rPr>
        <w:t xml:space="preserve">2</w:t>
      </w:r>
      <w:r w:rsidR="00000000" w:rsidRPr="00000000" w:rsidDel="00000000">
        <w:rPr>
          <w:rtl w:val="0"/>
        </w:rPr>
        <w:t xml:space="preserve">, 6.</w:t>
      </w:r>
      <w:r w:rsidR="00000000" w:rsidRPr="00000000" w:rsidDel="00000000">
        <w:rPr>
          <w:vertAlign w:val="superscript"/>
          <w:rtl w:val="0"/>
        </w:rPr>
        <w:t xml:space="preserve">3</w:t>
      </w:r>
      <w:r w:rsidR="00000000" w:rsidRPr="00000000" w:rsidDel="00000000">
        <w:rPr>
          <w:rtl w:val="0"/>
        </w:rPr>
        <w:t xml:space="preserve">, 32.</w:t>
      </w:r>
      <w:r w:rsidR="00000000" w:rsidRPr="00000000" w:rsidDel="00000000">
        <w:rPr>
          <w:vertAlign w:val="superscript"/>
          <w:rtl w:val="0"/>
        </w:rPr>
        <w:t xml:space="preserve">1</w:t>
      </w:r>
      <w:r w:rsidR="00000000" w:rsidRPr="00000000" w:rsidDel="00000000">
        <w:rPr>
          <w:rtl w:val="0"/>
        </w:rPr>
        <w:t xml:space="preserve"> un 120.</w:t>
      </w:r>
      <w:r w:rsidR="00000000" w:rsidRPr="00000000" w:rsidDel="00000000">
        <w:rPr>
          <w:vertAlign w:val="superscript"/>
          <w:rtl w:val="0"/>
        </w:rPr>
        <w:t xml:space="preserve">1</w:t>
      </w:r>
      <w:r w:rsidR="00000000" w:rsidRPr="00000000" w:rsidDel="00000000">
        <w:rPr>
          <w:rtl w:val="0"/>
        </w:rPr>
        <w:t xml:space="preserve"> punktu par rīcību ar bezmantinieku mantā ietilpstošu nekustamo īpašumu, kas nav ierakstīts zemesgrāmatā un kuram Nekustamā īpašuma valsts kadastra informācijas sistēmā mantojuma masas atstājējs reģistrēts ar statusu "īpašnieks" vai "tiesiskais valdītājs", piemēro visām zvērināta tiesu izpildītāja lietvedībā esošajām un vēl nepabeigtajām lietām par bezmantinieku mantu, ja pēc bezmantinieku mantas realizācijas un gūto ienākumu sadales lietā tās pabeigšanas brīdī visu kreditoru pretenzijas nav segtas vai tās nav segtas pilnībā un akts vai tiesas spriedums par mantas atzīšanu par bezmantinieku mantu taisīts līdz 2022. gada 1. janvārim. Rīcībai ar bezmantinieku mantā ietilpstošu nekustamo īpašumu, kas nav ierakstīts zemesgrāmatā un kuram Nekustamā īpašuma valsts kadastra informācijas sistēmā mantojuma masas atstājējs reģistrēts ar statusu "īpašnieks" vai "tiesiskais valdītājs", zvērināts tiesu izpildītājs ieved lietu par bezmantinieku mantu arī pēc valsts akciju sabiedrības "Valsts nekustamie īpašumi" iesniegta lūguma atbilstoši tās rīcībā esošajai informācijai par lietām par bezmantinieku mantu, kurās pabeigšanas brīdī visu kreditoru pretenzijas nav segtas vai tās nav segtas pilnībā un akts vai tiesas spriedums par mantas atzīšanu par bezmantinieku mantu taisīts līdz 2022. gada 1. janvārim."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25-TA-2534</w:t>
    </w:r>
    <w:r>
      <w:br/>
    </w:r>
    <w:r w:rsidR="00000000" w:rsidRPr="00000000" w:rsidDel="00000000">
      <w:rPr>
        <w:rtl w:val="0"/>
      </w:rPr>
      <w:t xml:space="preserve">Izdrukāts 29.07.2026. 23.17 - 1.0.VK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25-TA-2534</w:t>
    </w:r>
    <w:r>
      <w:br/>
    </w:r>
    <w:r w:rsidR="00000000" w:rsidRPr="00000000" w:rsidDel="00000000">
      <w:rPr>
        <w:rtl w:val="0"/>
      </w:rPr>
      <w:t xml:space="preserve">Izdrukāts 29.07.2026. 23.17 - 1.0.VK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noteikumu_(grozījumu)_projekts_25-TA-2534.docx</dc:title>
</cp:coreProperties>
</file>

<file path=docProps/custom.xml><?xml version="1.0" encoding="utf-8"?>
<Properties xmlns="http://schemas.openxmlformats.org/officeDocument/2006/custom-properties" xmlns:vt="http://schemas.openxmlformats.org/officeDocument/2006/docPropsVTypes"/>
</file>