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tiek izvērtēta par vardarbību sodītas personas atbilstība darbam, brīvprātīgajam darbam vai pakalpojuma sniegšanai bērnu iestādēs un pasākumos"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21-TA-1498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