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708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8. novembrī (prot. Nr. 56 33.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2017. gada 6. jūnija noteikumos Nr. 315 "Darbības programmas "Izaugsme un nodarbinātība" 1.1.1. specifiskā atbalsta mērķa "Palielināt Latvijas zinātnisko institūciju pētniecisko un inovatīvo kapacitāti un spēju piesaistīt ārējo finansējumu, ieguldot cilvēkresursos un infrastruktūrā" 1.1.1.5. pasākuma "Atbalsts starptautiskās sadarbības projektiem pētniecībā un inovācijās" pirmās, otrās un trešās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2017. gada 6. jūnija noteikumos Nr. 315 "Darbības programmas "Izaugsme un nodarbinātība" 1.1.1. specifiskā atbalsta mērķa "Palielināt Latvijas zinātnisko institūciju pētniecisko un inovatīvo kapacitāti un spēju piesaistīt ārējo finansējumu, ieguldot cilvēkresursos un infrastruktūrā" 1.1.1.5. pasākuma "Atbalsts starptautiskās sadarbības projektiem pētniecībā un inovācijās" pirmās, otrās un trešās projektu iesniegumu atlases kārtas īstenošanas noteikumi" (Latvijas Vēstnesis, 2017, 127. nr.; 2018, 251. nr.; 2019, 187. nr.; 2020, 94., 157. nr.; 2021, 181. nr.; 2022, 91.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Pasākumam plānotais kopējais attiecināmais finansējums ir 36 562 729 </w:t>
      </w:r>
      <w:r w:rsidR="00000000" w:rsidRPr="00000000" w:rsidDel="00000000">
        <w:rPr>
          <w:i w:val="1"/>
          <w:rtl w:val="0"/>
        </w:rPr>
        <w:t xml:space="preserve">euro</w:t>
      </w:r>
      <w:r w:rsidR="00000000" w:rsidRPr="00000000" w:rsidDel="00000000">
        <w:rPr>
          <w:rtl w:val="0"/>
        </w:rPr>
        <w:t xml:space="preserve">, ko veido Eiropas Reģionālās attīstības fonda finansējums 31 078 318  </w:t>
      </w:r>
      <w:r w:rsidR="00000000" w:rsidRPr="00000000" w:rsidDel="00000000">
        <w:rPr>
          <w:i w:val="1"/>
          <w:rtl w:val="0"/>
        </w:rPr>
        <w:t xml:space="preserve">euro </w:t>
      </w:r>
      <w:r w:rsidR="00000000" w:rsidRPr="00000000" w:rsidDel="00000000">
        <w:rPr>
          <w:rtl w:val="0"/>
        </w:rPr>
        <w:t xml:space="preserve">(tai skaitā virssaistību finansējums – 402 390 </w:t>
      </w:r>
      <w:r w:rsidR="00000000" w:rsidRPr="00000000" w:rsidDel="00000000">
        <w:rPr>
          <w:i w:val="1"/>
          <w:rtl w:val="0"/>
        </w:rPr>
        <w:t xml:space="preserve">euro</w:t>
      </w:r>
      <w:r w:rsidR="00000000" w:rsidRPr="00000000" w:rsidDel="00000000">
        <w:rPr>
          <w:rtl w:val="0"/>
        </w:rPr>
        <w:t xml:space="preserve">) un valsts budžeta līdzfinansējums 5 484 411 </w:t>
      </w:r>
      <w:r w:rsidR="00000000" w:rsidRPr="00000000" w:rsidDel="00000000">
        <w:rPr>
          <w:i w:val="1"/>
          <w:rtl w:val="0"/>
        </w:rPr>
        <w:t xml:space="preserve">euro </w:t>
      </w:r>
      <w:r w:rsidR="00000000" w:rsidRPr="00000000" w:rsidDel="00000000">
        <w:rPr>
          <w:rtl w:val="0"/>
        </w:rPr>
        <w:t xml:space="preserve">(tai skaitā virssaistību finansējums – 71 010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37.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Otrajai kārtai pieejamais kopējais attiecināmais finansējums ir 13 170 654 </w:t>
      </w:r>
      <w:r w:rsidR="00000000" w:rsidRPr="00000000" w:rsidDel="00000000">
        <w:rPr>
          <w:i w:val="1"/>
          <w:rtl w:val="0"/>
        </w:rPr>
        <w:t xml:space="preserve">euro</w:t>
      </w:r>
      <w:r w:rsidR="00000000" w:rsidRPr="00000000" w:rsidDel="00000000">
        <w:rPr>
          <w:rtl w:val="0"/>
        </w:rPr>
        <w:t xml:space="preserve">, ko veido Eiropas Reģionālās attīstības fonda finansējums 11 195 056 </w:t>
      </w:r>
      <w:r w:rsidR="00000000" w:rsidRPr="00000000" w:rsidDel="00000000">
        <w:rPr>
          <w:i w:val="1"/>
          <w:rtl w:val="0"/>
        </w:rPr>
        <w:t xml:space="preserve">euro </w:t>
      </w:r>
      <w:r w:rsidR="00000000" w:rsidRPr="00000000" w:rsidDel="00000000">
        <w:rPr>
          <w:rtl w:val="0"/>
        </w:rPr>
        <w:t xml:space="preserve">(tai skaitā virssaistību finansējums – 402 390 </w:t>
      </w:r>
      <w:r w:rsidR="00000000" w:rsidRPr="00000000" w:rsidDel="00000000">
        <w:rPr>
          <w:i w:val="1"/>
          <w:rtl w:val="0"/>
        </w:rPr>
        <w:t xml:space="preserve">euro</w:t>
      </w:r>
      <w:r w:rsidR="00000000" w:rsidRPr="00000000" w:rsidDel="00000000">
        <w:rPr>
          <w:rtl w:val="0"/>
        </w:rPr>
        <w:t xml:space="preserve">) un valsts budžeta līdzfinansējums 1 975 598 </w:t>
      </w:r>
      <w:r w:rsidR="00000000" w:rsidRPr="00000000" w:rsidDel="00000000">
        <w:rPr>
          <w:i w:val="1"/>
          <w:rtl w:val="0"/>
        </w:rPr>
        <w:t xml:space="preserve">euro </w:t>
      </w:r>
      <w:r w:rsidR="00000000" w:rsidRPr="00000000" w:rsidDel="00000000">
        <w:rPr>
          <w:rtl w:val="0"/>
        </w:rPr>
        <w:t xml:space="preserve">(tai skaitā virssaistību finansējums – 71 010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40.16.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"40.16. Rīgas Tehniskajai universitātei – 7 437 453  </w:t>
      </w:r>
      <w:r w:rsidR="00000000" w:rsidRPr="00000000" w:rsidDel="00000000">
        <w:rPr>
          <w:i w:val="1"/>
          <w:rtl w:val="0"/>
        </w:rPr>
        <w:t xml:space="preserve">euro </w:t>
      </w:r>
      <w:r w:rsidR="00000000" w:rsidRPr="00000000" w:rsidDel="00000000">
        <w:rPr>
          <w:rtl w:val="0"/>
        </w:rPr>
        <w:t xml:space="preserve">(Eiropas Reģionālās attīstības fonda finansējums 6 321 835 </w:t>
      </w:r>
      <w:r w:rsidR="00000000" w:rsidRPr="00000000" w:rsidDel="00000000">
        <w:rPr>
          <w:i w:val="1"/>
          <w:rtl w:val="0"/>
        </w:rPr>
        <w:t xml:space="preserve">euro </w:t>
      </w:r>
      <w:r w:rsidR="00000000" w:rsidRPr="00000000" w:rsidDel="00000000">
        <w:rPr>
          <w:rtl w:val="0"/>
        </w:rPr>
        <w:t xml:space="preserve">(tai skaitā virssaistību finansējums – 402 390 </w:t>
      </w:r>
      <w:r w:rsidR="00000000" w:rsidRPr="00000000" w:rsidDel="00000000">
        <w:rPr>
          <w:i w:val="1"/>
          <w:rtl w:val="0"/>
        </w:rPr>
        <w:t xml:space="preserve">euro</w:t>
      </w:r>
      <w:r w:rsidR="00000000" w:rsidRPr="00000000" w:rsidDel="00000000">
        <w:rPr>
          <w:rtl w:val="0"/>
        </w:rPr>
        <w:t xml:space="preserve">) un valsts budžeta līdzfinansējums 1 115 618 </w:t>
      </w:r>
      <w:r w:rsidR="00000000" w:rsidRPr="00000000" w:rsidDel="00000000">
        <w:rPr>
          <w:i w:val="1"/>
          <w:rtl w:val="0"/>
        </w:rPr>
        <w:t xml:space="preserve">euro </w:t>
      </w:r>
      <w:r w:rsidR="00000000" w:rsidRPr="00000000" w:rsidDel="00000000">
        <w:rPr>
          <w:rtl w:val="0"/>
        </w:rPr>
        <w:t xml:space="preserve">(tai skaitā virssaistību finansējums – 71 010 </w:t>
      </w:r>
      <w:r w:rsidR="00000000" w:rsidRPr="00000000" w:rsidDel="00000000">
        <w:rPr>
          <w:i w:val="1"/>
          <w:rtl w:val="0"/>
        </w:rPr>
        <w:t xml:space="preserve">euro</w:t>
      </w:r>
      <w:r w:rsidR="00000000" w:rsidRPr="00000000" w:rsidDel="00000000">
        <w:rPr>
          <w:rtl w:val="0"/>
        </w:rPr>
        <w:t xml:space="preserve">)), no kuriem 873 400 </w:t>
      </w:r>
      <w:r w:rsidR="00000000" w:rsidRPr="00000000" w:rsidDel="00000000">
        <w:rPr>
          <w:i w:val="1"/>
          <w:rtl w:val="0"/>
        </w:rPr>
        <w:t xml:space="preserve">euro </w:t>
      </w:r>
      <w:r w:rsidR="00000000" w:rsidRPr="00000000" w:rsidDel="00000000">
        <w:rPr>
          <w:rtl w:val="0"/>
        </w:rPr>
        <w:t xml:space="preserve">šo noteikumu 44.4. apakšpunktā minēto atbalstāmo darbību īstenošanai, 4 283 727 </w:t>
      </w:r>
      <w:r w:rsidR="00000000" w:rsidRPr="00000000" w:rsidDel="00000000">
        <w:rPr>
          <w:i w:val="1"/>
          <w:rtl w:val="0"/>
        </w:rPr>
        <w:t xml:space="preserve">euro </w:t>
      </w:r>
      <w:r w:rsidR="00000000" w:rsidRPr="00000000" w:rsidDel="00000000">
        <w:rPr>
          <w:rtl w:val="0"/>
        </w:rPr>
        <w:t xml:space="preserve">šo noteikumu 44.8. apakšpunktā minēto atbalstāmo darbību īstenošanai un 1 496 426 </w:t>
      </w:r>
      <w:r w:rsidR="00000000" w:rsidRPr="00000000" w:rsidDel="00000000">
        <w:rPr>
          <w:i w:val="1"/>
          <w:rtl w:val="0"/>
        </w:rPr>
        <w:t xml:space="preserve">euro </w:t>
      </w:r>
      <w:r w:rsidR="00000000" w:rsidRPr="00000000" w:rsidDel="00000000">
        <w:rPr>
          <w:rtl w:val="0"/>
        </w:rPr>
        <w:t xml:space="preserve">šo noteikumu 44.9. un 44.10. apakšpunktā minēto atbalstāmo darbību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41.6.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"41.6. specifiskais iznākuma rādītājs – augstskolu, uzņēmumu un valsts pārvaldes vadības personāls, kas pilnveidojis kompetenci starptautiskās sadarbības, pētniecības un inovāciju vadības jomā (vismaz 45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41.7.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"41.7. specifiskais iznākuma rādītājs – izveidots starptautisks kompetences centrs izglītības un inovāciju jomā, lai veicinātu izglītības izcilību un transformāciju, starptautiskās labās prakses pieredzes pārnesi, digitālās transformācijas un reformu ieviešanu;".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41.8.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"41.8. specifiskais iznākuma rādītājs – augstskolu skaits, kuru akadēmiskais un zinātniskais personāls piedalās mācībās, lai pilnveidotu kompetenci augsta līmeņa digitālo prasmju jomā un inovāciju projektos (vismaz 11 augstskolas)."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44.10.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"44.10. starptautiska kompetences centra izveide izglītības un inovāciju jomā – attiecināms tikai uz šo noteikumu 35.16. apakšpunktā minēto projekta iesniedzēju;".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44.11.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"44.11. starptautiskās prakses pārņemšana un pielāgošana augsta līmeņa digitālo prasmju apguves nodrošināšanai Latvijas augstskolās un zinātniskajās institūcijās – attiecināms tikai uz šo noteikumu 35.16. apakšpunktā minēto projekta iesniedzēju."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45.</w:t>
      </w:r>
      <w:r w:rsidR="00000000" w:rsidRPr="00000000" w:rsidDel="00000000">
        <w:rPr>
          <w:vertAlign w:val="superscript"/>
          <w:rtl w:val="0"/>
        </w:rPr>
        <w:t xml:space="preserve">2</w:t>
      </w:r>
      <w:r w:rsidR="00000000" w:rsidRPr="00000000" w:rsidDel="00000000">
        <w:rPr>
          <w:rtl w:val="0"/>
        </w:rPr>
        <w:t xml:space="preserve">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2</w:t>
      </w:r>
      <w:r w:rsidR="00000000" w:rsidRPr="00000000" w:rsidDel="00000000">
        <w:rPr>
          <w:rtl w:val="0"/>
        </w:rPr>
        <w:t xml:space="preserve">3. maksa par iesaisti starptautiskā mācībspēku, tehnoloģiju ekspertu, politikas ekspertu un pētnieku kopienā, kas nodrošina šo noteikumu 41.6. un 41.7. apakšpunktā noteikto specifisko iznākuma rādītāju sasniegšanu;".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45.</w:t>
      </w:r>
      <w:r w:rsidR="00000000" w:rsidRPr="00000000" w:rsidDel="00000000">
        <w:rPr>
          <w:vertAlign w:val="superscript"/>
          <w:rtl w:val="0"/>
        </w:rPr>
        <w:t xml:space="preserve">2</w:t>
      </w:r>
      <w:r w:rsidR="00000000" w:rsidRPr="00000000" w:rsidDel="00000000">
        <w:rPr>
          <w:rtl w:val="0"/>
        </w:rPr>
        <w:t xml:space="preserve">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2</w:t>
      </w:r>
      <w:r w:rsidR="00000000" w:rsidRPr="00000000" w:rsidDel="00000000">
        <w:rPr>
          <w:rtl w:val="0"/>
        </w:rPr>
        <w:t xml:space="preserve">4. ar konferenču, diskusiju un pieredzes apmaiņas pasākumu organizēšanu un īstenošanu saistītās izmaksas, tai skaitā telpu īre, ja projekta aktivitāšu īstenošanai nepieciešams īrēt telpas ārpus finansējuma saņēmēja vai projekta īstenošanas sadarbības partnera juridiskās un faktiskās uzturēšanās adreses, izdales materiālu izmaksas un datortehnikas noma šo noteikumu 44.9. un 44.10. apakšpunktā norādīto darbību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45.</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3</w:t>
      </w:r>
      <w:r w:rsidR="00000000" w:rsidRPr="00000000" w:rsidDel="00000000">
        <w:rPr>
          <w:rtl w:val="0"/>
        </w:rPr>
        <w:t xml:space="preserve"> Otrajā kārtā šo noteikumu 44.11. apakšpunktā minētās atbalstāmās darbības īstenošanai attiecināmas ir šādas izmaksu pozīcijas (izmaksas attiecināmas ar 2022. gada 1. septembri):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3</w:t>
      </w:r>
      <w:r w:rsidR="00000000" w:rsidRPr="00000000" w:rsidDel="00000000">
        <w:rPr>
          <w:rtl w:val="0"/>
        </w:rPr>
        <w:t xml:space="preserve">1. mācību izmaksas, tai skaitā mācību maksa un mācību materiāli, mācību koordinēšana, uzraudzība un kvalitātes kontrole, kā arī konsultācijas pasniedzējiem ārvalsts augstskolā;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3</w:t>
      </w:r>
      <w:r w:rsidR="00000000" w:rsidRPr="00000000" w:rsidDel="00000000">
        <w:rPr>
          <w:rtl w:val="0"/>
        </w:rPr>
        <w:t xml:space="preserve">2. mācību koordinēšanas un pārraudzības izmaksas šo noteikumu 35.16. apakšpunktā minētajam projekta iesniedzējam: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3</w:t>
      </w:r>
      <w:r w:rsidR="00000000" w:rsidRPr="00000000" w:rsidDel="00000000">
        <w:rPr>
          <w:rtl w:val="0"/>
        </w:rPr>
        <w:t xml:space="preserve">2.1. personāla atlīdzības izmaksas (izņemot virsstundas). Ja tiek slēgti uzņēmuma līgumi, darba devēja valsts sociālās apdrošināšanas obligātās iemaksas ir attiecināmas, ja projekta aktivitāšu īstenošanā iesaistītā persona nav reģistrējusies Valsts ieņēmumu dienestā kā pašnodarbināta persona;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3</w:t>
      </w:r>
      <w:r w:rsidR="00000000" w:rsidRPr="00000000" w:rsidDel="00000000">
        <w:rPr>
          <w:rtl w:val="0"/>
        </w:rPr>
        <w:t xml:space="preserve">2.2. šo noteikumu 45.1.2., 45.1.3., 45.1.4., 45.1.5. un 45.2. apakšpunktā minētās attiecināmās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3</w:t>
      </w:r>
      <w:r w:rsidR="00000000" w:rsidRPr="00000000" w:rsidDel="00000000">
        <w:rPr>
          <w:rtl w:val="0"/>
        </w:rPr>
        <w:t xml:space="preserve">2.3. pakalpojumu izmaksas. Ja pakalpojuma sniedzējs ir fiziska persona un tā nav reģistrējusies Valsts ieņēmumu dienestā kā pašnodarbināta persona, attiecināmas ir arī darba devēja valsts sociālās apdrošināšanas obligātās iemaksas;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3</w:t>
      </w:r>
      <w:r w:rsidR="00000000" w:rsidRPr="00000000" w:rsidDel="00000000">
        <w:rPr>
          <w:rtl w:val="0"/>
        </w:rPr>
        <w:t xml:space="preserve">2.4. e-risinājumu (informācijas sistēmas un programmatūra, kurā iespējams izmantot mākslīgā intelekta vai mašīnmācīšanās tulkošanas algoritmu optimizāciju) pielāgošanas, izstrādes, integrēšanas un ieviešanas izmaksas šo noteikumu 44.11. apakšpunktā minēto atbalstāmo darbību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82.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 Ja, īstenojot ar saimniecisku darbību nesaistītu projektu, sadarbības iestāde projekta īstenošanas laikā vai piecu gadu laikā pēc noslēguma maksājuma konstatē, ka projekts neatbilst šo noteikumu 2.1. un 2.5. apakšpunktā minētajam kritērijam, atbalsta saņēmējam ir pienākums atbalsta sniedzējam atmaksāt visu projekta ietvaros saņemto publisko finansējumu. Atbalstu saskaņā ar Komercdarbības atbalsta kontroles likuma IV vai V nodaļu atmaksā kopā ar procentiem no līdzekļiem, kas brīvi no valsts atbalsta."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Muižniece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22-TA-2291</w:t>
    </w:r>
    <w:r>
      <w:br/>
    </w:r>
    <w:r w:rsidR="00000000" w:rsidRPr="00000000" w:rsidDel="00000000">
      <w:rPr>
        <w:rtl w:val="0"/>
      </w:rPr>
      <w:t xml:space="preserve">Izdrukāts 29.07.2026. 23.18 - 1.0.VK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22-TA-2291</w:t>
    </w:r>
    <w:r>
      <w:br/>
    </w:r>
    <w:r w:rsidR="00000000" w:rsidRPr="00000000" w:rsidDel="00000000">
      <w:rPr>
        <w:rtl w:val="0"/>
      </w:rPr>
      <w:t xml:space="preserve">Izdrukāts 29.07.2026. 23.18 - 1.0.VK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noteikumu_(grozījumu)_projekts_22-TA-2291.docx</dc:title>
</cp:coreProperties>
</file>

<file path=docProps/custom.xml><?xml version="1.0" encoding="utf-8"?>
<Properties xmlns="http://schemas.openxmlformats.org/officeDocument/2006/custom-properties" xmlns:vt="http://schemas.openxmlformats.org/officeDocument/2006/docPropsVTypes"/>
</file>