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2023. gadam un budžeta ietvaru 2023., 2024. un 2025. gadam" 65. pantu, atbalstīt apropriācijas pārdali 175 446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Iekšlietu ministrijas budžeta apakšprogrammu 11.01.00 "Pilsonības un migrācijas lietu pārvalde", lai segtu izdevumus par papildu darba veikšanu, sniedzot atbalstu Ukrainas civiliedzīvotājiem un īstenojot pasākumus, kas saistīti ar personu reģistrēšanu Fizisko personu reģistrā un uzturēšanās tiesības apliecinoša dokumenta izsniegšanu ar tiesībām uz nodarbinātību, laikposmā no 2023. gada 1. marta līdz 2023. gada 31. maijam.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23-TA-1406</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23-TA-1406</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rīkojuma_projekts_23-TA-1406.docx</dc:title>
</cp:coreProperties>
</file>

<file path=docProps/custom.xml><?xml version="1.0" encoding="utf-8"?>
<Properties xmlns="http://schemas.openxmlformats.org/officeDocument/2006/custom-properties" xmlns:vt="http://schemas.openxmlformats.org/officeDocument/2006/docPropsVTypes"/>
</file>