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3.1.1. specifiskā atbalsta mērķa “Attīstīt ilgtspējīgu, klimatnoturīgu, inteliģentu, drošu un vairākveidu TEN-T infrastruktūru” 3.1.1.9. pasākuma “Bezpilota lidaparātu uztveršanas, identifikācijas, izsekošanas un pretdarbības risinājuma ieviešana”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 6.un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3.1.1. specifiskā atbalsta mērķa “Attīstīt ilgtspējīgu klimatnoturīgu, inteliģentu, drošu un vairākveidu TEN-T infrastruktūru” 3.1.1.9. pasākumu “Bezpilota lidaparātu uztveršanas, identifikācijas, izsekošanas un pretdarbības risinājuma ieviešana”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valsts akciju sabiedrības “STARPTAUTISKĀ LIDOSTA “RĪGA””  (turpmāk - Rīgas lidosta)  spējas uztvert, identificēt, izsekot un pretdarboties bezpilota lidaparātiem, kas veic nesankcionētus lidojumus gaisa satiksmes kritiskajās zonās un Rīgas lidostas teritorijā, kuru noteikusi valsts aģentūra “Civilās aviācijas aģentūra” sadarbībā ar lidlauka īpašnieku vai valdītāju un gaisa satiksmes pakalpojumu sniedzēju, ņemot vērā pieaugošos riskus, ko rada  nesankcionēta bezpilotu lidaparātu izmantošana.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gaisa transporta infrastruktūras lietotāji.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kopējais plānotais finansējums ir 2 420 500 euro, tai skaitā Kohēzijas fonda finansējums ne vairāk kā 1 954 863 euro un privātais līdzfinansējums – 465 637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Maksimālais attiecināmais Kohēzijas fonda finansējuma apmērs nepārsniedz 85 procentus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Kohēzijas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līdz 2029.gada 31.decembrim, sasniedzot: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uzstādīts nesankcionētu bezpilota lidaparātu identificēšanas radaru sistēmas un komandvadības komplekts;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uzstādīta nesankcionētu bezpilota lidaparātu attālinātas vadības signālu slāpēšanas iekārta un sistēmas integrācija;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rezultātā rādītāju - ieviests komplekss tehnoloģiskais risinājums nesankcionētu bezpilota lidaparātu identificēšanai un signālu slāpēšanai.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ir sasniegti, kad atbilstoši noslēgtajiem līgumiem ir piegādātas un uzstādītas iekārtas, sistēmas un nepieciešamais programmnodrošinājums, ko apliecina pieņemšanas un nodošanas akti, kā arī  pabeigti projektā paredzētie būvdarbi (ja tādi paredzēti), kas tiek pamatoti ar iesniegtiem būvdarbu pabeigšanu pamatojošiem dokumentiem, un objekti ir nodoti ekspluatācijā saskaņā ar būvniecības jomu reglamentējošajiem normatīvajiem aktiem, kā arī ieviests komplekss tehnoloģisks risinājums un projekts ir pabeigts.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Satiksmes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finansējuma saņēmējs ir Rīgas lidosta.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un iesniedz to Kohēzijas politikas fondu vadības informācijas sistēmā, pievienojot projektam veikto ekonomisko analīzi.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darbības, kas vērstas uz bezpilota lidaparātu uztveršanas, identifikācijas, izsekošanas un pretdarbības risinājuma ieviešanu, paredzot tādu inovatīvu un kompleksu tehnoloģisko risinājumu ieviešanu sistēmās, kas spēs nodrošināt gaisa satiksmes, pasažieru un Rīgas lidostas drošību gaisa satiksmes kritiskajā zonā un Rīgas lidostas teritorijā.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tiešās attiecināmās izmaksas var ietvert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pamatojošās dokumentācijas sagatavošanas izmaksas (izņemot projekta iesnieguma veidlapas aizpildīšanas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radara sistēmas un ar tās funkcionalitāti saistīto moduļu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attālinātas vadības signālu slāpēšanas iekārtas iegādes izmaksas, kā arī jebkādi citi pretdarbības vai slāpēšanas risinājumi;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komandvadības (C2) programmnodrošinājuma licenču un to atjauninājumu izmaksas licenču darbības periodā, kas nepārsniedz piecus gadus no iegādes brīža;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punktos minēto iekārtu un programmnodrošinājuma uzstādīšanas, testēšanas un integrācijas finansējuma saņēmēja sistēmās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jaunas būves būvniecības, esošas būves pārbūves un atjaunošanas izmaksas atbilstoši būvprojektam kā arī būvlaukuma ierīkošanas un novākšanas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iekārtu un sistēmu uzturēšanas, tajā skaitā, apkalpošanas un nepieciešamo remontdarbu veikšanas nodrošināšana, nepieciešamības gadījumā piesaistot jomas speciālistus;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iekārtu un sistēmu apdrošināšanas izmaksas un civiltiesiskās atbildības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nepieciešamo programmnodrošinājumu iegāde, atjauninājumu, uzlabojumu vai licenču darbības pagarināšana;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personāla apmācību izmaksas par jauno tehnoloģiju lietošanu;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attiecīgo būvspeciālistu apdrošināšanas un normatīvajos aktos būvniecības jomā noteiktās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komunikācijas un vizuālās identitātes pasākumu izmaksas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un īstenošanas personāla administratīvās izmaksas, un tās plāno kā vienu izmaksu pozīciju, piemērojot netiešo izmaksu vienoto likmi 15 procentu apmērā no šo noteikumu </w:t>
      </w:r>
      <w:r w:rsidR="00000000" w:rsidRPr="00000000" w:rsidDel="00000000">
        <w:rPr>
          <w:rtl w:val="0"/>
        </w:rPr>
        <w:t xml:space="preserve">16.14. </w:t>
      </w:r>
      <w:r w:rsidR="00000000" w:rsidRPr="00000000" w:rsidDel="00000000">
        <w:rPr>
          <w:rtl w:val="0"/>
        </w:rPr>
        <w:t xml:space="preserve">apakšpunktā</w:t>
      </w:r>
      <w:r w:rsidR="00000000" w:rsidRPr="00000000" w:rsidDel="00000000">
        <w:rPr>
          <w:rtl w:val="0"/>
        </w:rPr>
        <w:t xml:space="preserve">  minētajām tiešajām attiecināmajām projekta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Projektā plānotās attiecināmās izmaksas netiek finansētas vai līdzfinansētas, kā arī tās nav plānots finansēt vai līdzfinansēt no citiem valsts un ārvalstu finanšu atbalsta instrumentiem.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2021/1060 </w:t>
      </w:r>
      <w:r w:rsidR="00000000" w:rsidRPr="00000000" w:rsidDel="00000000">
        <w:rPr>
          <w:rtl w:val="0"/>
        </w:rPr>
        <w:t xml:space="preserve">64. panta 1. punkta "c" apakšpunktā</w:t>
      </w:r>
      <w:r w:rsidR="00000000" w:rsidRPr="00000000" w:rsidDel="00000000">
        <w:rPr>
          <w:rtl w:val="0"/>
        </w:rPr>
        <w:t xml:space="preserve">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īstenošanā radušās izmaksas var uzskatīt par attiecināmām finansēšanai no Kohēzijas fonda, ja tās atbilst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ietvertajām izmaksu pozīcijām un ir radušās ne agrāk kā noteikts regulas Nr. 2021/1060 </w:t>
      </w:r>
      <w:r w:rsidR="00000000" w:rsidRPr="00000000" w:rsidDel="00000000">
        <w:rPr>
          <w:rtl w:val="0"/>
        </w:rPr>
        <w:t xml:space="preserve">63.panta 7.punktā</w:t>
      </w:r>
      <w:r w:rsidR="00000000" w:rsidRPr="00000000" w:rsidDel="00000000">
        <w:rPr>
          <w:rtl w:val="0"/>
        </w:rPr>
        <w:t xml:space="preserve"> . Projekta iesniegumā neiekļauj un finansējumu nepiešķir līdz projekta iesnieguma iesniegšanas dienai pabeigtām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īstenošanas gaitā radušās sadārdzinājuma izmaksas, kas pārsniedz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 kopējo plānoto finansējumu, finansējuma saņēmējs sedz no saviem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 projekta īstenošanā radītās vērtības un nodrošina nepieciešamos līdzekļus to uzturēšanai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projektā sasniegtajiem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sniedz sadarbības iestādei informāciju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w:t>
      </w:r>
      <w:r w:rsidR="00000000" w:rsidRPr="00000000" w:rsidDel="00000000">
        <w:rPr>
          <w:rtl w:val="0"/>
        </w:rPr>
        <w:t xml:space="preserve">47. un 50. pantu </w:t>
      </w:r>
      <w:r w:rsidR="00000000" w:rsidRPr="00000000" w:rsidDel="00000000">
        <w:rPr>
          <w:rtl w:val="0"/>
        </w:rPr>
        <w:t xml:space="preserve"> un kārtību, kādā Eiropas Savienības fondu vadībā iesaistītās institūcijas nodrošina šo fondu ieviešanu 2021.–2027. gada plānošanas periodā, ņemot vērā Eiropas Savienības fondu 2021.–2027. gada plānošanas perioda un Atveseļošanas fonda komunikācijas un dizaina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pasākuma īstenošanas laikā nekustamie īpašumi, kuri nepieciešami projekta īstenošanai, ir finansējuma saņēmēja īpašumā vai lietošanā. Ja  pasākuma ietvaros nepieciešams veikt būvniecību, to  veic uz lietošanas, valdījuma vai uz zemesgrāmatā ierakstītas lietu tiesības pamata, saskaņojot būvniecības ieceri ar projekta īstenošanai nepieciešamo nekustamo īpašumu īpašniekiem atbilstoši normatīvo aktu nosacījumiem būvniecības jomā;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interešu konflikta neesamību saskaņā ar Eiropas Parlamenta un Padomes 2024. gada 23. septembra Regulas (ES, Euratom) Nr. 2024/2509 par finanšu noteikumiem, ko piemēro Savienības vispārējam budžetam (pārstrādāta redakcija)</w:t>
      </w:r>
      <w:r w:rsidR="00000000" w:rsidRPr="00000000" w:rsidDel="00000000">
        <w:rPr>
          <w:rtl w:val="0"/>
        </w:rPr>
        <w:t xml:space="preserve"> 61. pantu</w:t>
      </w:r>
      <w:r w:rsidR="00000000" w:rsidRPr="00000000" w:rsidDel="00000000">
        <w:rPr>
          <w:rtl w:val="0"/>
        </w:rPr>
        <w:t xml:space="preserve"> un normatīvajiem aktiem publisko iepirkumu jomā, kā arī paraksta interešu konflikta neesamības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saņēmējs projekta īstenošanai nepieciešamās preces un pakalpojumus iegādājas saskaņā ar normatīvajiem aktiem publisko iepirkumu jomā,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sasniegto rezultātu ilgtspēju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glabā projekta dokumentāciju un nodrošina tai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projektu īsteno saskaņā ar noslēgto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īstenošanā veiktie ieguldījumi ir finansējuma saņēmēja īpašums.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25-TA-1859</w:t>
    </w:r>
    <w:r>
      <w:br/>
    </w:r>
    <w:r w:rsidR="00000000" w:rsidRPr="00000000" w:rsidDel="00000000">
      <w:rPr>
        <w:rtl w:val="0"/>
      </w:rPr>
      <w:t xml:space="preserve">Izdrukāts 29.07.2026. 23.15 - 1.0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25-TA-1859</w:t>
    </w:r>
    <w:r>
      <w:br/>
    </w:r>
    <w:r w:rsidR="00000000" w:rsidRPr="00000000" w:rsidDel="00000000">
      <w:rPr>
        <w:rtl w:val="0"/>
      </w:rPr>
      <w:t xml:space="preserve">Izdrukāts 29.07.2026. 23.15 - 1.0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noteikumu_projekts_25-TA-1859.docx</dc:title>
</cp:coreProperties>
</file>

<file path=docProps/custom.xml><?xml version="1.0" encoding="utf-8"?>
<Properties xmlns="http://schemas.openxmlformats.org/officeDocument/2006/custom-properties" xmlns:vt="http://schemas.openxmlformats.org/officeDocument/2006/docPropsVTypes"/>
</file>