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likmes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tblGridChange w:id="0">
          <w:tblGrid>
            <w:gridCol w:w="9641"/>
            <w:gridCol w:w="9641"/>
            <w:gridCol w:w="9641"/>
            <w:gridCol w:w="9641"/>
            <w:gridCol w:w="9641"/>
          </w:tblGrid>
        </w:tblGridChange>
      </w:tblGrid>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Aizdevuma rezerves bāzes 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Novērtējuma kategorija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Nodrošinājums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Spēcīga (AAA-A)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 (BBB)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Apmierinoša (BB)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Slikta/finansiālās grūtības (CCC un zemāka)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Aizņēmējiem, kuriem nav kredītvēstures vai novērtējuma, kas pamatots ar bilanci (piemēram, īpašam nolūkam dibinātiem uzņēmumiem vai jaundibinātiem uzņēmumiem), riska likmi nosaka vismaz 400 bāzes punktu apmērā (atkarībā no pieejamā nodrošinājuma), un riska likme nevar būt zemāka par to, ko piemēro mātes uzņēmumam.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24-TA-2763</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24-TA-2763</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noteikumu_konsolidētā_versija_p_24-TA-2763.docx</dc:title>
</cp:coreProperties>
</file>

<file path=docProps/custom.xml><?xml version="1.0" encoding="utf-8"?>
<Properties xmlns="http://schemas.openxmlformats.org/officeDocument/2006/custom-properties" xmlns:vt="http://schemas.openxmlformats.org/officeDocument/2006/docPropsVTypes"/>
</file>