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septembrī (prot. Nr. 46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līdzdalības saglabāšanu valsts sabiedrībā ar ierobežotu atbildību "Latvijas Nacionālā opera un balets"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Publiskas personas kapitāla daļu un kapitālsabiedrību pārvaldības likuma 4. un 7. pantu un Valsts pārvaldes iekārtas likuma 88. panta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Saglabāt valsts līdzdalību valsts sabiedrībā ar ierobežotu atbildību "Latvijas Nacionālā opera un balets" (reģistrācijas Nr. 40103208907).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valsts sabiedrības ar ierobežotu atbildību "Latvijas Nacionālā opera un balets" vispārējo stratēģisko mērķi – saglabāt, attīstīt un popularizēt nacionālo un pasaules kultūras mantojumu operas un baleta žanrā, veicinot jaunradi un iesaistoties starptautiskajos operas un baleta mākslas procesos un sadarbībā, kā arī nodrošināt daudzveidīgu operas un baleta iestudējumu pieejamību sabiedrībai.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22-TA-2393</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22-TA-2393</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rīkojuma_projekts_22-TA-2393.docx</dc:title>
</cp:coreProperties>
</file>

<file path=docProps/custom.xml><?xml version="1.0" encoding="utf-8"?>
<Properties xmlns="http://schemas.openxmlformats.org/officeDocument/2006/custom-properties" xmlns:vt="http://schemas.openxmlformats.org/officeDocument/2006/docPropsVTypes"/>
</file>