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Elektronisko sakaru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satiksmes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atbildīgā institūcija par jautājuma izskatīšanu saistībā ar papildu valsts budžeta līdzekļu piešķiršanu darbības nodrošināšanai likumprojekta par valsts budžetu kārtējam gadam un likumprojekta par vidēja termiņa budžeta ietvara sagatavošanas procesā, kā arī par šo līdzekļu piešķiršanu valsts akciju sabiedrības "Latvijas Valsts radio un televīzijas centrs" izdevumu segšanai, kas nepieciešami GOVSATCOM programmas un Drošas savienojamības programmas kompetentās iestādes funkciju veikšanai, ir Satiksmes ministrija. Jautājumu par Satiksmes ministrijai (LVRTC) papildus nepieciešamo finansējumu 2026. gadā 60500 </w:t>
      </w:r>
      <w:r w:rsidR="00000000" w:rsidRPr="00000000" w:rsidDel="00000000">
        <w:rPr>
          <w:i w:val="1"/>
          <w:rtl w:val="0"/>
        </w:rPr>
        <w:t xml:space="preserve">euro</w:t>
      </w:r>
      <w:r w:rsidR="00000000" w:rsidRPr="00000000" w:rsidDel="00000000">
        <w:rPr>
          <w:rtl w:val="0"/>
        </w:rPr>
        <w:t xml:space="preserve"> apmērā un 2027. gadā un turpmāk katru gadu 60500 </w:t>
      </w:r>
      <w:r w:rsidR="00000000" w:rsidRPr="00000000" w:rsidDel="00000000">
        <w:rPr>
          <w:i w:val="1"/>
          <w:rtl w:val="0"/>
        </w:rPr>
        <w:t xml:space="preserve">euro</w:t>
      </w:r>
      <w:r w:rsidR="00000000" w:rsidRPr="00000000" w:rsidDel="00000000">
        <w:rPr>
          <w:rtl w:val="0"/>
        </w:rPr>
        <w:t xml:space="preserve"> apmērā izskatīt Ministru kabinetā kopā ar visu ministriju un citu centrālo valsts iestāžu iesniegtajiem prioritāro pasākumu pieteikumiem likumprojekta "Par valsts budžetu 2026.gadam" un budžeta ietvaru 2026., 2027. un 2028. gadam" sagatavošanas un izskatīšanas procesā atbilstoši valsts budžeta finansiālajām iespējām.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Satiksmes ministrijai sadarbībā ar valsts akciju sabiedrību "Latvijas Valsts radio un televīzijas centrs" izstrādāt un iesniegt izskatīšanai Ministru kabinetā noteikumu projektu, kas nosaka GOVSATCOM programmas un Drošas savienojamības programmas kompetentās iestādes funkcijas, kā arī kārtību, kā tiek nodrošināta lietotāju pārvaldības definēšana, dalībnieku un lietotāju kontu pārvaldība, lietotāju anonimizācija un deanonimizācija, žetonu piešķiršana, pakalpojumu pieprasīšana un anulēšana, drošības risku un incidentu pārvaldība un ziņošana, uzraudzība un kontrole, pakalpojumu problēmu novēršanas saziņa, kā arī lietotāju aprīkojuma izplatīšana.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25-TA-667</w:t>
    </w:r>
    <w:r>
      <w:br/>
    </w:r>
    <w:r w:rsidR="00000000" w:rsidRPr="00000000" w:rsidDel="00000000">
      <w:rPr>
        <w:rtl w:val="0"/>
      </w:rPr>
      <w:t xml:space="preserve">Izdrukāts 29.07.2026. 22.34 - 1.0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mk_sēdes_protokollēmuma_projekts_25-TA-667.docx</dc:title>
</cp:coreProperties>
</file>

<file path=docProps/custom.xml><?xml version="1.0" encoding="utf-8"?>
<Properties xmlns="http://schemas.openxmlformats.org/officeDocument/2006/custom-properties" xmlns:vt="http://schemas.openxmlformats.org/officeDocument/2006/docPropsVTypes"/>
</file>