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Elektronisko sakaru likuma</w:t>
      </w:r>
      <w:r w:rsidR="00000000" w:rsidRPr="00000000" w:rsidDel="00000000">
        <w:rPr>
          <w:rStyle w:val="paragraph"/>
          <w:i w:val="1"/>
          <w:rtl w:val="0"/>
        </w:rPr>
        <w:t xml:space="preserve"> 45.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11. oktobra noteikumos Nr. 635 "Ierobežoto radiofrekvenču joslu noteikumi" (Latvijas Vēstnesis, 2022, 201. nr.; 2024, 187.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3410,0–3800,0 MHz;".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Šo noteikumu 2.13. un 2.14 apakšpunkts ir spēkā līdz 2028. gada 31. decembrim."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Šo noteikumu 2.13’. apakšpunkts stājas spēkā 2029. gada 1. janvārī."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26-TA-349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26-TA-349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