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Latvijas Bankas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</w:t>
      </w:r>
      <w:r w:rsidR="00000000" w:rsidRPr="00000000" w:rsidDel="00000000">
        <w:rPr>
          <w:rStyle w:val="paragraph"/>
          <w:rtl w:val="0"/>
        </w:rPr>
        <w:t xml:space="preserve">Latvijas Bankas likumā</w:t>
      </w:r>
      <w:r w:rsidR="00000000" w:rsidRPr="00000000" w:rsidDel="00000000">
        <w:rPr>
          <w:rStyle w:val="paragraph"/>
          <w:rtl w:val="0"/>
        </w:rPr>
        <w:t xml:space="preserve"> (Latvijas Vēstnesis, 2021, 193.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likuma 79. pantu ar ceturto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"(4) Latvijas Banka skaidrās naudas pārvadājumu un citu tās objektu fiziskās drošības nodrošināšanai ir tiesīga iesaistīt Nacionālos bruņotos spēkus, ievērojot Nacionālo bruņoto spēku likumā noteikto. 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2023. gada 2. janvārī</w:t>
      </w:r>
      <w:r>
        <w:br/>
      </w:r>
      <w:r w:rsidR="00000000" w:rsidRPr="00000000" w:rsidDel="00000000">
        <w:rPr>
          <w:rStyle w:val="paragraph"/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21-TA-1782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21-TA-1782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likumprojekts_(grozījumi)_21-TA-1782.docx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