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septembrī (prot. Nr. 36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Iekšlietu ministrijai (Iekšējās drošības birojam) nodot Ukrainai (Ukrainas Aizsardzības ministrijai) bez atlīdzības šādu valsts kustamo mantu (kopējā bilances vērtība 1703,64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trīspadsmit 5.11 </w:t>
      </w:r>
      <w:r w:rsidR="00000000" w:rsidRPr="00000000" w:rsidDel="00000000">
        <w:rPr>
          <w:i w:val="1"/>
          <w:rtl w:val="0"/>
        </w:rPr>
        <w:t xml:space="preserve">Tactical</w:t>
      </w:r>
      <w:r w:rsidR="00000000" w:rsidRPr="00000000" w:rsidDel="00000000">
        <w:rPr>
          <w:rtl w:val="0"/>
        </w:rPr>
        <w:t xml:space="preserve"> virsjakas;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divdesmit flīsa jakas;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divpadsmit 5.11 </w:t>
      </w:r>
      <w:r w:rsidR="00000000" w:rsidRPr="00000000" w:rsidDel="00000000">
        <w:rPr>
          <w:i w:val="1"/>
          <w:rtl w:val="0"/>
        </w:rPr>
        <w:t xml:space="preserve">Tactical</w:t>
      </w:r>
      <w:r w:rsidR="00000000" w:rsidRPr="00000000" w:rsidDel="00000000">
        <w:rPr>
          <w:rtl w:val="0"/>
        </w:rPr>
        <w:t xml:space="preserve"> saišu zābakus;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vienu bezpilota gaisa kuģi (drons) </w:t>
      </w:r>
      <w:r w:rsidR="00000000" w:rsidRPr="00000000" w:rsidDel="00000000">
        <w:rPr>
          <w:i w:val="1"/>
          <w:rtl w:val="0"/>
        </w:rPr>
        <w:t xml:space="preserve">DJI Phantom 3 Advanced</w:t>
      </w:r>
      <w:r w:rsidR="00000000" w:rsidRPr="00000000" w:rsidDel="00000000">
        <w:rPr>
          <w:rtl w:val="0"/>
        </w:rPr>
        <w:t xml:space="preserve"> ar somu </w:t>
      </w:r>
      <w:r w:rsidR="00000000" w:rsidRPr="00000000" w:rsidDel="00000000">
        <w:rPr>
          <w:i w:val="1"/>
          <w:rtl w:val="0"/>
        </w:rPr>
        <w:t xml:space="preserve">DJI hardshell</w:t>
      </w:r>
      <w:r w:rsidR="00000000" w:rsidRPr="00000000" w:rsidDel="00000000">
        <w:rPr>
          <w:rtl w:val="0"/>
        </w:rPr>
        <w:t xml:space="preserve"> un bateriju;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divus tālskatus</w:t>
      </w:r>
      <w:r w:rsidR="00000000" w:rsidRPr="00000000" w:rsidDel="00000000">
        <w:rPr>
          <w:i w:val="1"/>
          <w:rtl w:val="0"/>
        </w:rPr>
        <w:t xml:space="preserve"> Nikon Spektiv Prostaff</w:t>
      </w:r>
      <w:r w:rsidR="00000000" w:rsidRPr="00000000" w:rsidDel="00000000">
        <w:rPr>
          <w:rtl w:val="0"/>
        </w:rPr>
        <w:t xml:space="preserve"> 3 </w:t>
      </w:r>
      <w:r w:rsidR="00000000" w:rsidRPr="00000000" w:rsidDel="00000000">
        <w:rPr>
          <w:i w:val="1"/>
          <w:rtl w:val="0"/>
        </w:rPr>
        <w:t xml:space="preserve">16-48x60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vienu tālskati ar foto režīma funkciju </w:t>
      </w:r>
      <w:r w:rsidR="00000000" w:rsidRPr="00000000" w:rsidDel="00000000">
        <w:rPr>
          <w:i w:val="1"/>
          <w:rtl w:val="0"/>
        </w:rPr>
        <w:t xml:space="preserve">Bushnell Spotting scope View</w:t>
      </w:r>
      <w:r w:rsidR="00000000" w:rsidRPr="00000000" w:rsidDel="00000000">
        <w:rPr>
          <w:rtl w:val="0"/>
        </w:rPr>
        <w:t xml:space="preserve"> </w:t>
      </w:r>
      <w:r w:rsidR="00000000" w:rsidRPr="00000000" w:rsidDel="00000000">
        <w:rPr>
          <w:i w:val="1"/>
          <w:rtl w:val="0"/>
        </w:rPr>
        <w:t xml:space="preserve">15-45x70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vienu binokli </w:t>
      </w:r>
      <w:r w:rsidR="00000000" w:rsidRPr="00000000" w:rsidDel="00000000">
        <w:rPr>
          <w:i w:val="1"/>
          <w:rtl w:val="0"/>
        </w:rPr>
        <w:t xml:space="preserve">Canon 12x36 IS II Binocular</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vienu binokli </w:t>
      </w:r>
      <w:r w:rsidR="00000000" w:rsidRPr="00000000" w:rsidDel="00000000">
        <w:rPr>
          <w:i w:val="1"/>
          <w:rtl w:val="0"/>
        </w:rPr>
        <w:t xml:space="preserve">Nikon Marine 7x50 CF WP GLOBAL COMPASS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vienu metāla detektoru (meklētāju) </w:t>
      </w:r>
      <w:r w:rsidR="00000000" w:rsidRPr="00000000" w:rsidDel="00000000">
        <w:rPr>
          <w:i w:val="1"/>
          <w:rtl w:val="0"/>
        </w:rPr>
        <w:t xml:space="preserve">EBINGERTREX 204</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Iekšējās drošības birojam atbilstoši Ministru kabineta 2006. gada 25. jūlija noteikumu Nr. 618 "Kārtība, kādā valsts kustamo mantu nodod bez atlīdzības ārvalstu valdību un starpvalstu organizāciju īpašumā" 4. punktam noformēt nodošanas un pieņemšanas aktu par šā rīkojuma 1. punktā minētās valsts kustamās mantas nodošanu bez atlīdzības Ukrainai (Ukrainas Aizsardzības ministrijai), neslēdzot rakstveida līgumu. Iekšējās drošības biroja atbildīgajai amatpersonai parakstīt nodošanas un pieņemšanas aktu. Iekšējās drošības biroja priekšniekam apstiprināt parakstīto nodošanas un pieņemšanas 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Iekšējās drošības birojam nodrošināt šā rīkojuma 1. punktā minētās valsts kustamās mantas nodošanu Ukrainai (Ukrainas Aizsardzības ministrijai).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24-TA-950</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24-TA-950</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rīkojuma_projekts_24-TA-950.docx</dc:title>
</cp:coreProperties>
</file>

<file path=docProps/custom.xml><?xml version="1.0" encoding="utf-8"?>
<Properties xmlns="http://schemas.openxmlformats.org/officeDocument/2006/custom-properties" xmlns:vt="http://schemas.openxmlformats.org/officeDocument/2006/docPropsVTypes"/>
</file>