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(Latvijas Vēstnesis, 2023, 10., 158.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atzinums - Eiropas digitālās inovācijas centra eksperta gala novērtējums par digitālās attīstības ceļa kartē noteikto prasību izpildi un digitālā brieduma paaugstināšanos pēc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gala labuma guvējs – Latvijas Republikā reģistrēts sīkais (mikro), mazais, vidējais, lielais komersants (tai skaitā juridiskas personas ārvalstu filiāle, zemnieku saimniecība, kooperatīvā sabiedrība), biedrība un nodibinājums, kas apvieno vismaz trīs komersantus vai pārstāv to intereses, pētniecības un zināšanu izplatīšanas organizācija, publiskas personas kapitālsabiedrības;".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otrreizējais digitālā brieduma tests – novērtējums par gala labuma guvēja esošo digitālo un inovāciju briedumu, ko pēc atbalsta saņemšanas gala labuma guvējs veic patstāvīgi vai sadarbībā ar Eiropas digitālās inovācijas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līdz 2024. gada 30. jūnijam to vienību skaits, kam sniegts atbalsts, lai digitalizētu komercdarbības procesus, un kam pēc granta saņemšanas un projekta īstenošanas uzlabojās digitālā brieduma testa rezultāts, salīdzinot ar iepriekšējo testa rezultātu, - 80;".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līdz 2026. gada 30. jūnijam to vienību skaits, kam sniegts atbalsts, lai digitalizētu komercdarbības procesus, un kam pēc granta saņemšanas un projekta īstenošanas uzlabojās digitālā brieduma testa rezultāts, salīdzinot ar iepriekšējo testa rezultātu, – 200;".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līdz 2023. gada 30. jūnijam to vienību skaits, kam sniegts atbalsts, lai digitalizētu komercdarbības procesus, un kam pēc granta saņemšanas un projekta īstenošanas uzlabojās digitālā brieduma testa rezultāts, salīdzinot ar iepriekšējo testa rezultātu, – 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līdz 2025. gada 31. decembrim to vienību skaits, kam sniegts atbalsts, lai digitalizētu komercdarbības procesus, un kam pēc granta saņemšanas un projekta īstenošanas uzlabojās digitālā brieduma testa rezultāts, salīdzinot ar iepriekšējo testa rezultātu, – 140;".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16.9.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digitālu procesu prototipēšana – jaunu digitālu risinājumu izstrāde;".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"18.2.1. gatavo risinājumu, aparatūras, sensoru, iekārtu, programmatūras un informācijas tehnoloģiju infrastruktūras iegādes, izstrādes, prototipēšanas, uzstādīšanas un pielāgošanas izmaksas, tai skaitā licences iegādes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kravu iekraušanas, izkraušanas, celšanas, pārvadāšanas un glabāšanas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pēc vienošanās noslēgšanas ar Ekonomikas ministriju iesniegt Vadības informācijas sistēmā plānoto progresa pārskatu iesniegšanas grafiku, paredzot iesniegt progresa pārskatu ne biežāk kā divas reizes gadā, un iepirkumu plānu par plānotajiem iepirkumiem, kur paredzēts piemērot publisko iepirkumu regulējumu;".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 iesniegt noslēguma progresa pārskatu Vadības informācijas sistēmā līdz 2026. gada 30. jūnijam;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"25.8. noslēgt līgumus ar gala labuma guvējiem, iekļaujot pienākumu gala labuma guvējam veikt otrreizējo digitālā brieduma testu un iesniegt Latvijas Investīciju un attīstības aģentūrai Eiropas digitālās inovācijas centra atzinumu. Latvijas Investīciju un attīstības aģentūra šo noteikumu 27. punktā minētajā gadījumā, var lūgt izsniegt Eiropas digitālās inovācijas centra atzinumu, ja nepieciešams pārliecināties par digitālās transformācijas digitālā brieduma paaugstināšanos pēc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"25.9. atbalsta sniegšanā gala labuma guvējiem nodrošināt principa "nenodarīt būtisku kaitējumu" piemērošanu saskaņā ar Eiropas Parlamenta un Padomes 2021. gada 12. februāra Regulas (ES) Nr. 2021/241, ar ko izveido Atveseļošanas un noturības mehānismu (turpmāk – Komisijas regula Nr. 2021/241), 2. panta 6. punktu un 5. panta 2. punktu, tai skaitā sniedzot informāciju Eiropas digitālās inovācijas centram gala labuma guvēja atbalsta pieteikuma izvērtēšanā. Latvijas Investīciju un attīstības aģentūras līgumā ar gala labuma guvēju iekļaut informāciju par būtisku kaitējumu nodarošo iniciatīvu neatbalstīšanu;".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5. punktā minētā Atveseļošanas fonda finansējuma ietvaros atbalsts pieejams gala labuma guvējiem, lai saņemtu atbalstu šajos noteikumos noteiktajām atbalstāmajām darbībām līdz 5000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Šo noteikumu 5. punktā minētā Atveseļošanas fonda finansējuma ietvaros atbalsts pieejams gala labuma guvējiem, lai saņemtu atbalstu šajos noteikumos noteiktajām atbalstāmajām darbībām līdz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Gala labuma guvējs var iesniegt vairākus pieteikumus, lai saņemtu atbalstu saskaņā ar šo noteikumu 27. un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 tas ir reģistrēts Latvijas Republikas Uzņēmumu reģistrā vai Komercreģistrā;".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"34.4.2. uz gala labuma guvēju attiecas tāds attiecīgā jomā kompetentas institūcijas lēmums par sodu vai tiesas spriedumu, kas stājies spēkā un kļuvis neapstrīdams un nepārsūdzams, gala labuma guvējs ir atzīts par vainīgu un sodīts par pārkāpumu, kas izpaužas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34.4.2.1. 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34.4.2.2. personas nodarbināšana bez rakstveidā noslēgta darba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34.4.6.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"34.4.6. ar tādu attiecīgā jomā kompetentas institūcijas lēmumu par sodu vai tiesas spriedumu, kas stājies spēkā un kļuvis neapstrīdams un nepārsūdzams, gala labuma guvējs ir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Latvijas Investīciju un attīstības aģentūra nenoraida gala labuma guvēja projekta pieteikumu, ja no dienas, kad kļuvis neapstrīdams un nepārsūdzams: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1. tiesas spriedums, prokurora priekšraksts par sodu vai citas institūcijas pieņemtais lēmums saistībā ar šo noteikumu 34.4.1.  vai 34.4.2.1. apakšpunktā minētajiem pārkāpumiem, līdz Latvijas Investīcijas un attīstības aģentūras lēmuma pieņemšanas dienai ir pagājuši trīs gadi;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2. tiesas spriedums vai citas institūcijas pieņemtais lēmums saistībā ar šo noteikumu 34.4.2.2. vai 34.4.3. apakšpunktā minētajiem pārkāpumiem, līdz Latvijas Investīcijas un attīstības aģentūras lēmuma pieņemšanas dienai ir pagājuši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sākotnējo digitālā brieduma testu, ievērojot šo noteikumu 37.</w:t>
      </w:r>
      <w:r w:rsidR="00000000" w:rsidRPr="00000000" w:rsidDel="00000000">
        <w:rPr>
          <w:vertAlign w:val="superscript"/>
          <w:rtl w:val="0"/>
        </w:rPr>
        <w:t xml:space="preserve">2</w:t>
      </w:r>
      <w:r w:rsidR="00000000" w:rsidRPr="00000000" w:rsidDel="00000000">
        <w:rPr>
          <w:rtl w:val="0"/>
        </w:rPr>
        <w:t xml:space="preserve">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digitālās attīstības ceļa karti, ievērojot šo noteikumu 37.</w:t>
      </w:r>
      <w:r w:rsidR="00000000" w:rsidRPr="00000000" w:rsidDel="00000000">
        <w:rPr>
          <w:vertAlign w:val="superscript"/>
          <w:rtl w:val="0"/>
        </w:rPr>
        <w:t xml:space="preserve">2</w:t>
      </w:r>
      <w:r w:rsidR="00000000" w:rsidRPr="00000000" w:rsidDel="00000000">
        <w:rPr>
          <w:rtl w:val="0"/>
        </w:rPr>
        <w:t xml:space="preserve">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atbalsts tiek sniegts saskaņā ar Eiropas Komisijas 2013. gada 18.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 vai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atbalsta saņemšanai gala labuma guvējs Latvijas Investīciju un attīstības aģentūrai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aizpildītu Latvijas Investīciju un attīstības aģentūras izstrādāto pieteikuma formu atbalsta saņemšanai;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biedru sarakstu un dibinātāju lēmumu (attiecināms uz biedrībām un nodibinājumiem);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w:t>
      </w:r>
      <w:r w:rsidR="00000000" w:rsidRPr="00000000" w:rsidDel="00000000">
        <w:rPr>
          <w:i w:val="1"/>
          <w:rtl w:val="0"/>
        </w:rPr>
        <w:t xml:space="preserve">de minimis </w:t>
      </w:r>
      <w:r w:rsidR="00000000" w:rsidRPr="00000000" w:rsidDel="00000000">
        <w:rPr>
          <w:rtl w:val="0"/>
        </w:rPr>
        <w:t xml:space="preserve">atbalsta uzskaites sistēmā sagatavotās izdrukas veidlapu vai norāda</w:t>
      </w:r>
      <w:r w:rsidR="00000000" w:rsidRPr="00000000" w:rsidDel="00000000">
        <w:rPr>
          <w:i w:val="1"/>
          <w:rtl w:val="0"/>
        </w:rPr>
        <w:t xml:space="preserve"> de minimis </w:t>
      </w:r>
      <w:r w:rsidR="00000000" w:rsidRPr="00000000" w:rsidDel="00000000">
        <w:rPr>
          <w:rtl w:val="0"/>
        </w:rPr>
        <w:t xml:space="preserve">atbalsta uzskaites sistēmā izveidotās un apstiprinātās pretendenta veidlapas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 deklarāciju par atbilstību sīkā (mikro), mazā vai vidējā komersanta statusam;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 sākotnējo digitālā brieduma testu, ievērojot šo noteikumu 37.</w:t>
      </w:r>
      <w:r w:rsidR="00000000" w:rsidRPr="00000000" w:rsidDel="00000000">
        <w:rPr>
          <w:vertAlign w:val="superscript"/>
          <w:rtl w:val="0"/>
        </w:rPr>
        <w:t xml:space="preserve">2</w:t>
      </w:r>
      <w:r w:rsidR="00000000" w:rsidRPr="00000000" w:rsidDel="00000000">
        <w:rPr>
          <w:rtl w:val="0"/>
        </w:rPr>
        <w:t xml:space="preserve">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 digitālās attīstības ceļa karti, ievērojot šo noteikumu 37.</w:t>
      </w:r>
      <w:r w:rsidR="00000000" w:rsidRPr="00000000" w:rsidDel="00000000">
        <w:rPr>
          <w:vertAlign w:val="superscript"/>
          <w:rtl w:val="0"/>
        </w:rPr>
        <w:t xml:space="preserve">2</w:t>
      </w:r>
      <w:r w:rsidR="00000000" w:rsidRPr="00000000" w:rsidDel="00000000">
        <w:rPr>
          <w:rtl w:val="0"/>
        </w:rPr>
        <w:t xml:space="preserve">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36.7. apliecinājumu, ka tas šo noteikumu 16. punktā minēto atbalstāmo darbību īstenošanas laikā un trīs gadus pēc to īstenošanas iesniegs Centrālajā statistikas pārvaldē pārskatus par inovāciju izmaksām Centrālās statistikas pārvaldes noteiktajos termiņos un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Gala labuma guvējs, kas pretendē uz atbalsta saņemšanu Latvijas Investīciju un attīstības aģentūrā, var iesniegt atbalsta pieteikumu Latvijas Investīciju un attīstības aģentūrā pirms, vienlaikus vai pēc sākotnējā digitālā brieduma testa un pieteikuma ceļa kartes saņemšanai iesniegšanas Eiropas digitālās inovācijas centrā saskaņā ar Ministru kabineta 2022. gada 13. septembra noteikumiem Nr.577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2.2.1.1.i. investīcija)."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Gala labuma guvējam šo noteikumu 35.3. un 35.4. apakšpunktā vai 36.5. un 36.6. apakšpunktā minētie dokumenti ir jāiesniedz līdz Latvijas Investīciju un attīstības aģentūras lēmuma par komercdarbības atbalsta piešķiršanu pieņemšanai."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Atiecināmo izmaksu daļa, ko gala labuma guvējs var izmantot šo noteikumu 18.2.2. apakšpunktā minēto konsultāciju izmaksu segšanai, proporcionāli nevar pārsniegt attiecināmo izmaksu daļu, kas paredzēta šo noteikumu 18.2.1. apakšpunktā minēto attiecināmo izmaksu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 42.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Gala labuma guvējs iesniedz Latvijas Investīciju un attīstības aģentūrā ieguldījumus pamatojošo dokumentāciju kopā ar otrreizējo digitālā brieduma testu un, ja attiecināms, atzinumu. Latvijas Investīciju un attīstības aģentūra savstarpēji salīdzina sākotnējo digitālā brieduma testu un otrreizējo digitālā brieduma testu. Salīdzinājuma rezultātā jābūt vērojamam uzlabojumam kopējā digitalizācijas līmenī. Gala labuma guvējam izmaksas tiek attiecinātas tikai pēc izmaksas pamatojošās dokumentācijas, otrreizējā digitālā brieduma testa un, ja attiecināms, atzinuma pārbaudes, ko veic Latvijas Investīciju un attīstības aģentūra. Otrreizējā digitālā brieduma tests un, ja attiecināms, atzinums jāiesniedz Latvijas Investīciju un attīstības aģentūrā 30 dienu laikā pēc investīciju projekta īstenošanas. Latvijas Investīciju un attīstības aģentūra otrreizējo digitālā brieduma testu, atzinumu un izmaksas pamatojošos dokumentus izskata 30 dienu laikā no to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Priekšfinansējumu Latvijas Investīciju un attīstības aģentūra var saņemt 30 % apmērā no šo noteikumu 5. punktā minētā finansējuma, ja ir izstrādāta un ar Ekonomikas ministriju saskaņota šo noteikumu 25.6. apakšpunktā minētā kārtība. Nākamos starpposma maksājumus Latvijas Investīciju un attīstības aģentūra var pieprasīt, ja iepriekšējie maksājumi ir izlietoti pilnā apmērā. Priekšfinansējuma un starpposma maksājumu kopsumma nepārsniedz 90 % no šo noteikumu 5. punktā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Ja Latvijas Investīciju un attīstības aģentūrai nav iesniegti šo noteikumu 35.3. un 35.4. apakšpunktā minētie dokumenti un komercdarbības atbalstu gala labuma guvējam plānots sniegt saskaņā ar Komisijas regulu Nr. 651/2014, Latvijas Investīciju un attīstības aģentūra pēc gala labuma guvēja projekta pieteikuma izvērtēšanas veic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 sagatavo starplēmumu par komersanta atbilstību komercdarbības atbalsta nosacījumiem, norādot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1.1. informāciju par gala labuma guvēja nosaukumu, reģistrācijas numuru, plānotās investīcijas nosaukumu un īsu investīcijas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1.2. atzīmi, ka komercdarbības atbalstu plānots sniegt saskaņā ar Komisijas regulu Nr. 651/2014 14. un 18.panta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1.3. norādi par gala labuma guvēja atbilstību izslēgšanas kritērijiem saskaņā ar šo noteikumu 34.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1.4. norādi par gala labuma guvēja pamatdarbības nozares un investīciju projektā paredzēto darbību atbilstību šo noteikumu nosacījumiem saskaņā ar šo noteikumu 60.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1.5. norādi par projekta pieteikuma atbilstību principam "nenodarīt būtisku kaitējumu" saskaņā ar šo noteikumu 60.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1.6. norādi uz nepieciešamību Eiropas digitālās inovācijas centram veikt komercdarbības atbalsta novērtējumu saskaņā ar </w:t>
      </w:r>
      <w:r w:rsidR="00000000" w:rsidRPr="00000000" w:rsidDel="00000000">
        <w:rPr>
          <w:i w:val="1"/>
          <w:rtl w:val="0"/>
        </w:rPr>
        <w:t xml:space="preserve">de minimis </w:t>
      </w:r>
      <w:r w:rsidR="00000000" w:rsidRPr="00000000" w:rsidDel="00000000">
        <w:rPr>
          <w:rtl w:val="0"/>
        </w:rPr>
        <w:t xml:space="preserve">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1.7. uz nepieciešamību Eiropas digitālās inovācijas centram sniegt sākotnējā digitālā brieduma testu un ceļa karti, ja gala labuma guvējam plānotā investīcija ir nepieciešama digitālās transformācijas veicināšanai;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2. nosūta Eiropas digitālās inovācijas centram šo noteikumu 57.</w:t>
      </w:r>
      <w:r w:rsidR="00000000" w:rsidRPr="00000000" w:rsidDel="00000000">
        <w:rPr>
          <w:vertAlign w:val="superscript"/>
          <w:rtl w:val="0"/>
        </w:rPr>
        <w:t xml:space="preserve">1</w:t>
      </w:r>
      <w:r w:rsidR="00000000" w:rsidRPr="00000000" w:rsidDel="00000000">
        <w:rPr>
          <w:rtl w:val="0"/>
        </w:rPr>
        <w:t xml:space="preserve">1. apakšpunktā minēto starplēmumu;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3. pēc Eiropas digitālās inovācijas centra sākotnējā digitālā brieduma testa un ceļa kartes saņemšanas, pieņem lēmumu par komercdarbības atbalsta piešķiršanu gala labuma guvējam, saskaņā ar Komisijas regulu Nr. 651/2014."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Atbalstu šo noteikumu 54. punktā minētajos gadījumos nepiešķir šādām nozarēm un investīciju projektā paredzētajām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 Komisijas regulas Nr. 651/2014 1. panta 2. punkta "c" un "d" apakšpunktā un 13. panta "a", "b", "c" un "d" apakšpunktā noteiktajām neatbalstāmajām nozarēm un darbībām, ja gala labuma guvējs pretendē uz atbalstu saskaņā ar Komisijas regulu Nr. 651/2014;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 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60.3. azartspēlēm un derībām (NACE 2.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60.4. 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60.5. Komisijas regulas Nr. 651/2014 1. panta 3. punktā noteiktajām neatbalstāmajām nozarēm un darbībām, ja gala labuma guvējs pretendē uz atbalstu saskaņā ar Komisijas regulu Nr. 651/2014;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60.6. 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60.7. 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60.8. atkritumu savākšanai,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60.9. darbībām, kas saistītas ar fosilo kurināmo, tostarp tā pakārtotu izmantošanu, tai skaitā elektroenerģijas vai siltuma ražošanu, kā arī saistīto pārvades un sadales infrastruktūru, izmantojot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60.10. darbībām saskaņā ar kvotu tirdzniecības sistēmu, lai sasniegtu prognozētās CO</w:t>
      </w:r>
      <w:r w:rsidR="00000000" w:rsidRPr="00000000" w:rsidDel="00000000">
        <w:rPr>
          <w:vertAlign w:val="superscript"/>
          <w:rtl w:val="0"/>
        </w:rPr>
        <w:t xml:space="preserve">2</w:t>
      </w:r>
      <w:r w:rsidR="00000000" w:rsidRPr="00000000" w:rsidDel="00000000">
        <w:rPr>
          <w:rtl w:val="0"/>
        </w:rPr>
        <w:t xml:space="preserve"> emisijas."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Ja atbalstu nevar sniegt saskaņā ar šo noteikumu 54. punktu, tad atbalstu gala labuma guvējam sniedz šo noteikumu 18.2. apakšpunktā minētajām izmaksām kā </w:t>
      </w:r>
      <w:r w:rsidR="00000000" w:rsidRPr="00000000" w:rsidDel="00000000">
        <w:rPr>
          <w:i w:val="1"/>
          <w:rtl w:val="0"/>
        </w:rPr>
        <w:t xml:space="preserve">de minimis </w:t>
      </w:r>
      <w:r w:rsidR="00000000" w:rsidRPr="00000000" w:rsidDel="00000000">
        <w:rPr>
          <w:rtl w:val="0"/>
        </w:rPr>
        <w:t xml:space="preserve">atbalstu saskaņā ar Komisijas regulu Nr. 2023/2831 vai Komisijas regulu Nr. 1408/2013."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 67.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Ar komercdarbības atbalsta saņemšanu saistītie nosacījumi, ja komercdarbības atbalsts tiek piešķirts saskaņā ar Komisijas regulu Nr. 2023/2831 vai Komisijas regulu Nr. 1408/2013".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Šo noteikumu 27. punktā un 30. punktā minētajam gala labuma guvējam atbalsts šo noteikumu 18.2. apakšpunktā minētajām izmaksām, tai skaitā iekārtu nomai, tiek sniegts saskaņā ar Komisijas regulu Nr. 2023/2831 vai Komisijas regulu Nr. 1408/2013."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Šo noteikumu 27. punktā minētajam gala labuma guvējam maksimāli pieļaujamā atbalsta intensitāte no investīciju projekta attiecināmajām izmaksām ir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76.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Ja Latvijas Investīciju un attīstības aģentūrai nav iesniegti šo noteikumu 36.5. un 36.6. apakšpunktā minētie dokumenti un komercdarbības atbalstu gala labuma guvējam plānots sniegt saskaņā ar Komisijas regulu Nr. 2023/2831 vai Komisijas regulu Nr. 1408/2013, Latvijas Investīciju un attīstības aģentūra pēc gala labuma guvēja projekta pieteikuma izvērtēšanas veic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 sagatavo starplēmumu par komersanta atbilstību komercdarbības atbalsta nosacījumiem, norādot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1.1. informāciju par gala labuma guvēja nosaukumu, reģistrācijas numuru, plānotā projekta nosaukumu un īsu investīcijas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1.2. atzīmi, ka komercdarbības atbalstu plānots sniegt saskaņā ar Komisijas regulu Nr. 2023/2831 vai Komisijas regulu Nr. 1408/2013;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1.3. ka gala labuma guvējs vienota komersanta līmenī nav pārsniedzis </w:t>
      </w:r>
      <w:r w:rsidR="00000000" w:rsidRPr="00000000" w:rsidDel="00000000">
        <w:rPr>
          <w:i w:val="1"/>
          <w:rtl w:val="0"/>
        </w:rPr>
        <w:t xml:space="preserve">de minimis </w:t>
      </w:r>
      <w:r w:rsidR="00000000" w:rsidRPr="00000000" w:rsidDel="00000000">
        <w:rPr>
          <w:rtl w:val="0"/>
        </w:rPr>
        <w:t xml:space="preserve">atbalsta apmēru un plānotā </w:t>
      </w:r>
      <w:r w:rsidR="00000000" w:rsidRPr="00000000" w:rsidDel="00000000">
        <w:rPr>
          <w:i w:val="1"/>
          <w:rtl w:val="0"/>
        </w:rPr>
        <w:t xml:space="preserve">de minimis </w:t>
      </w:r>
      <w:r w:rsidR="00000000" w:rsidRPr="00000000" w:rsidDel="00000000">
        <w:rPr>
          <w:rtl w:val="0"/>
        </w:rPr>
        <w:t xml:space="preserve">atbalsta apmēru investīcijas ietvaros un gala labuma guvēja brīvi pieejamo </w:t>
      </w:r>
      <w:r w:rsidR="00000000" w:rsidRPr="00000000" w:rsidDel="00000000">
        <w:rPr>
          <w:i w:val="1"/>
          <w:rtl w:val="0"/>
        </w:rPr>
        <w:t xml:space="preserve">de minimis</w:t>
      </w:r>
      <w:r w:rsidR="00000000" w:rsidRPr="00000000" w:rsidDel="00000000">
        <w:rPr>
          <w:rtl w:val="0"/>
        </w:rPr>
        <w:t xml:space="preserve"> apmēru, saskaņā ar šo noteikumu 81.1. un 81.1.</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1.4. norādi par gala labuma guvēja atbilstību izslēgšanas kritērijiem saskaņā ar šo noteikumu 34.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1.5. par gala labuma guvēja pamatdarbības nozares un investīciju projektā paredzēto darbību atbilstību šo noteikumu nosacījumiem saskaņā ar šo noteikumu 81.3.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1.6. par projekta pieteikuma atbilstību principam "nenodarīt būtisku kaitējumu" saskaņā ar šo noteikumu 81.3.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1.7. norādi uz nepieciešamību Eiropas digitālās inovācijas centram sniegt sākotnējā digitālā brieduma testu un ceļa karti, ja gala labuma guvējam plānotā investīcija ir nepieciešama digitālās transformācijas veicināšanai;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2. Eiropas digitālās inovācijas centram šo noteikumu 76.</w:t>
      </w:r>
      <w:r w:rsidR="00000000" w:rsidRPr="00000000" w:rsidDel="00000000">
        <w:rPr>
          <w:vertAlign w:val="superscript"/>
          <w:rtl w:val="0"/>
        </w:rPr>
        <w:t xml:space="preserve">1</w:t>
      </w:r>
      <w:r w:rsidR="00000000" w:rsidRPr="00000000" w:rsidDel="00000000">
        <w:rPr>
          <w:rtl w:val="0"/>
        </w:rPr>
        <w:t xml:space="preserve">1. apakšpunktā minēto  starplēmumu;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3. pēc Eiropas digitālās inovācijas centra sākotnējā digitālā brieduma testa un ceļa kartes saņemšanas, pieņem lēmumu par komercdarbības atbalsta piešķiršanu gala labuma guvējam, saskaņā ar Komisijas regulu Nr. 2023/2831 vai Komisijas regulu Nr. 1408/2013."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Atbalstu šo noteikumu 74. punktā minētajos gadījumos nepiešķir šādām nozarēm un investīciju projektā paredzētajām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Komisijas regulas Nr. 2023/2831 1. panta 1. punktā noteiktajām neatbalstāmajām nozarēm, ja gala labuma guvējs pretendē uz atbalstu saskaņā ar Komisijas regulu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Komisijas regulas Nr. 1408/2013 1. pantā noteiktajām neatbalstāmajām nozarēm un darbībām, ja gala labuma guvējs pretendē uz atbalstu saskaņā ar Komisijas regulu Nr. 1408/2013;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šo noteikumu 60. un 60.</w:t>
      </w:r>
      <w:r w:rsidR="00000000" w:rsidRPr="00000000" w:rsidDel="00000000">
        <w:rPr>
          <w:vertAlign w:val="superscript"/>
          <w:rtl w:val="0"/>
        </w:rPr>
        <w:t xml:space="preserve">1</w:t>
      </w:r>
      <w:r w:rsidR="00000000" w:rsidRPr="00000000" w:rsidDel="00000000">
        <w:rPr>
          <w:rtl w:val="0"/>
        </w:rPr>
        <w:t xml:space="preserve"> punktā minētajām neatbalstāmajām nozarēm un investīciju projektā paredzētajām darbībām, izņemot šo noteikumu 60.1. un 60.5. apakšpunktā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Ja gala labuma guvējs darbojas kādā no šo noteikumu 79. punktā minētajām neatbalstāmajām nozarēm vai veic neatbalstāmās darbības, atbalstu drīkst piešķirt tikai tad, ja tiek skaidri nodalītas atbalstāmās darbības vai finanšu plūsmas no citu darbības nozaru finanšu plūsmas, nodrošinot, ka darbības izslēgtajās nozarēs negūst labumu no atbalsta saskaņā ar Komisijas regulas Nr. 2023/2831 1. panta 2. punktu vai Komisijas regulas Nr. 1408/2013 1.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2023/2831 3. panta 2. punktā vai Komisijas regulas Nr. 1408/2013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81.1.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w:t>
      </w:r>
      <w:r w:rsidR="00000000" w:rsidRPr="00000000" w:rsidDel="00000000">
        <w:rPr>
          <w:vertAlign w:val="superscript"/>
          <w:rtl w:val="0"/>
        </w:rPr>
        <w:t xml:space="preserve">1</w:t>
      </w:r>
      <w:r w:rsidR="00000000" w:rsidRPr="00000000" w:rsidDel="00000000">
        <w:rPr>
          <w:rtl w:val="0"/>
        </w:rPr>
        <w:t xml:space="preserve"> atbalsta kopsumma, ko viena dalībvalsts piešķīrusi vienam vienotam uzņēmumam, nevienā trīs gadu periodā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84.1.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"84.1. saskaņā ar Komisijas regulas Nr. 2023/2831 7. panta 3. punktu un 8. pantu – līdz Komisijas regulas Nr. 2023/2831 darbības beigām, bet ne vēlāk kā līdz 2026.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Svītrot 84.2.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Svītrot 85.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tiek pārkāptas šajos noteikumos noteiktās komercdarbības atbalsta kontroles normas, tostarp nosacījumi, kas izriet no Komisijas regulas Nr. 2023/2831 vai Komisijas regulas Nr. 1408/2013, gala labuma guvējam ir pienākums atmaksāt Latvijas Investīciju un attīstības aģentūrai visu investīciju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Atbalstu, kas atbalsta programmas ietvaros gala labuma guvējam piešķirts saskaņā ar Komisijas regulu Nr. 2023/2831 vai Komisijas regulu Nr. 1408/2013, var kumulēt ar citu </w:t>
      </w:r>
      <w:r w:rsidR="00000000" w:rsidRPr="00000000" w:rsidDel="00000000">
        <w:rPr>
          <w:i w:val="1"/>
          <w:rtl w:val="0"/>
        </w:rPr>
        <w:t xml:space="preserve">de minimis </w:t>
      </w:r>
      <w:r w:rsidR="00000000" w:rsidRPr="00000000" w:rsidDel="00000000">
        <w:rPr>
          <w:rtl w:val="0"/>
        </w:rPr>
        <w:t xml:space="preserve">atbalstu līdz Komisijas regulas Nr. 2023/2831 3. panta 2. punktā vai Komisijas regulas Nr. 1408/2013 3. panta 2. punktā noteiktajam attiecīgajam robežlielumam, kā arī var apvienot ar citas atbalsta programmas vai </w:t>
      </w:r>
      <w:r w:rsidR="00000000" w:rsidRPr="00000000" w:rsidDel="00000000">
        <w:rPr>
          <w:i w:val="1"/>
          <w:rtl w:val="0"/>
        </w:rPr>
        <w:t xml:space="preserve">ad hoc</w:t>
      </w:r>
      <w:r w:rsidR="00000000" w:rsidRPr="00000000" w:rsidDel="00000000">
        <w:rPr>
          <w:rtl w:val="0"/>
        </w:rPr>
        <w:t xml:space="preserve"> atbalsta projekta ietvaros piešķirto finansējumu, tai skaitā par tām pašām attiecināmajām izmaksām vai citu valsts atbalstu tam pašam riska finansējuma pasākumam, ja netiek pārsniegta attiecīgā maksimālā atbalsta intensitāte vai atbalsta summa, kāda noteikta valsts atbalsta programmā vai Eiropas Komisijas lēmumā par komercdarbības atbalsta saderību ar Eiropas Savienības iekšējo tirgu."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Atbilstoši Komisijas regulas Nr. 2023/28316. panta 3. punktam vai Komisijas regulas Nr. 1408/2013 6. panta 3. punktam informācijas uzglabāšana tiek nodrošināta šādā veidā: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90.1. Latvijas Investīciju un attīstības aģentūra nodrošina informācijas uzglabāšanu 10 gadus, sākot no dienas, kad ir piešķirts pēdējais atbalsts saskaņā ar šiem noteikumiem;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90.2. gala labuma guvējs nodrošina informācijas uzglabāšanu 10 gadus, skaitot no atbalsta piešķiršanas brīža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Papildināt ar 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Par komercdarbības atbalsta piešķiršanas brīdi gala labuma guvējam uzskatāms brīdis, kad Latvijas Investīciju un attīstības aģentūra pieņem lēmumu par komercdarbības atbalsta piešķiršanu."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24-TA-50</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24-TA-50</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noteikumu_(grozījumu)_projekts_24-TA-50.docx</dc:title>
</cp:coreProperties>
</file>

<file path=docProps/custom.xml><?xml version="1.0" encoding="utf-8"?>
<Properties xmlns="http://schemas.openxmlformats.org/officeDocument/2006/custom-properties" xmlns:vt="http://schemas.openxmlformats.org/officeDocument/2006/docPropsVTypes"/>
</file>