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jūlijā (prot. Nr. 29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131 604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10.00.00 "Valsts robežsardzes darbība", lai ar valsts drošību saistīto prioritāro pasākumu ietvaros turpinātu valsts robežas apsardzības tehnoloģiskās infrastruktūras izbūvi (3. un 4. kārtā) uz Latvijas Republikas un Krievijas Federācijas valsts ārējās sauszemes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24-TA-1648</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24-TA-1648</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rīkojuma_projekts_24-TA-1648.docx</dc:title>
</cp:coreProperties>
</file>

<file path=docProps/custom.xml><?xml version="1.0" encoding="utf-8"?>
<Properties xmlns="http://schemas.openxmlformats.org/officeDocument/2006/custom-properties" xmlns:vt="http://schemas.openxmlformats.org/officeDocument/2006/docPropsVTypes"/>
</file>