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martā (prot. Nr. 9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20. februāra noteikumos Nr. 113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20. februāra noteikumos Nr. 113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 (Latvijas Vēstnesis, 2024, 37., 138.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 gala labuma guvēju digitālajai attīstībai un projekta mērķu sasniegšanai (saskaņā ar gala labuma guvēja digitālās attīstības plānu) nepieciešamo finansējuma saņēmēja noteikto auditorijas pētījumu risinājumu, informācijas un komunikācijas tehnoloģiju (iekārtas, programmatūra, licence) izstrādes, iegādes, atjaunošanas un modernizēšanas izmaksas. Šajā apakšpunktā minētās izmaksas var segt arī pats gala labuma guvējs;".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"42.3. finansējuma saņēmēju līmenī izlases veidā nodrošina korupcijas, krāpšanas, interešu konflikta novēršanas principu pārbaudes saskaņā ar Eiropas Parlamenta un Padomes 2024. gada 23. septembra Regulas (ES, Euratom) 2024/2509 par finanšu noteikumiem, ko piemēro Savienības vispārējam budžetam (pārstrādāta redakcija) (turpmāk – regula Nr. 2024/2509), 61. pantu, kā arī dubultfinansējuma riska novēršanas un sasniegto mērķu pamatojošās dokumentācijas pārbaudes izlases veidā, tai skaitā datu ticamības pārbaudes;".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"43.3. vērtējot gala labuma guvējus, pārliecināties, ka tie atbilst visiem šo noteikumu nosacījumiem, un pārbaudīt gala labuma guvējus atbilstoši regulas Nr. 2024/2509 136. pantā minētajiem izslēgšanas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43.16.1.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"43.16.1. pasākumus interešu konflikta riska kontrolei (preventīvus pasākumus un pasākumus, lai konstatētu interešu konflikta risku, tai skaitā paziņošanas procedūru un labošanas pasākumus), iekļaujot informāciju par interešu konflikta novēršanu saskaņā ar regulas Nr. 2024/2509 61.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Sadarbības partnera un gala labuma guvēja pienākumi: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 nodrošināt interešu konflikta, korupcijas, krāpšanas un dubultfinansējuma nepieļaušanu projekta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2. iepirkumu, kas nepieciešams projekta īstenošanai, veikt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 zaļais publiskais iepirkums, inovāciju iepirkums un sociāli atbildīgs iepirkums."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Atbalsts šo noteikumu 15.4. apakšpunktā minēto izmaksu segšanai nav uzskatāms par komercdarbības atbalstu finansējuma saņēmējam, sadarbības partnerim un gala labuma guvējam, ja finansējuma saņēmējs vai sadarbības partneris, vai gala labuma guvējs nodrošina finansējuma saņēmēja noteikto auditorijas pētījumu risinājumu, informācijas un komunikācijas tehnoloģiju (iekārtas, programmatūra, licence) izstrādi, iegādi, atjaunošanu un modernizēšanu, piemērojot šo noteikumu 43.10. vai 43.</w:t>
      </w:r>
      <w:r w:rsidR="00000000" w:rsidRPr="00000000" w:rsidDel="00000000">
        <w:rPr>
          <w:vertAlign w:val="superscript"/>
          <w:rtl w:val="0"/>
        </w:rPr>
        <w:t xml:space="preserve">1</w:t>
      </w:r>
      <w:r w:rsidR="00000000" w:rsidRPr="00000000" w:rsidDel="00000000">
        <w:rPr>
          <w:rtl w:val="0"/>
        </w:rPr>
        <w:t xml:space="preserve">2. apakšpunktā minēto procedūru. Šo noteikumu 15.4. apakšpunktā plānotās darbības rezultātā iegūtais produkts vai pakalpojums būs galalietotāju īpašumā un nepaliks finansējuma saņēmēja vai tā sadarbības partnera rīcībā atkārtotai izmantošanai."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ministra un satiksmes ministra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25-TA-279</w:t>
    </w:r>
    <w:r>
      <w:br/>
    </w:r>
    <w:r w:rsidR="00000000" w:rsidRPr="00000000" w:rsidDel="00000000">
      <w:rPr>
        <w:rtl w:val="0"/>
      </w:rPr>
      <w:t xml:space="preserve">Izdrukāts 29.07.2026. 23.44 - 1.0.VK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25-TA-279</w:t>
    </w:r>
    <w:r>
      <w:br/>
    </w:r>
    <w:r w:rsidR="00000000" w:rsidRPr="00000000" w:rsidDel="00000000">
      <w:rPr>
        <w:rtl w:val="0"/>
      </w:rPr>
      <w:t xml:space="preserve">Izdrukāts 29.07.2026. 23.44 - 1.0.VK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noteikumu_(grozījumu)_projekts_25-TA-279.docx</dc:title>
</cp:coreProperties>
</file>

<file path=docProps/custom.xml><?xml version="1.0" encoding="utf-8"?>
<Properties xmlns="http://schemas.openxmlformats.org/officeDocument/2006/custom-properties" xmlns:vt="http://schemas.openxmlformats.org/officeDocument/2006/docPropsVTypes"/>
</file>