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[22-TA-3069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[22-TA-3069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normas, kas attiecināmas uz atbalsta pretendenta vai saņēmēja izslēgšanu no atbalsta saņēmēju loka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akta norma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79.¹ pants. Terorisms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79.² pants. Terorisma finansēšana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79.³ pants. Teroristu grupa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79.⁴ pants. Personas vervēšana, apmācīšana un apmācīšanās terorismam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79.⁵ pants. Ceļošana terorisma nolūkā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79.⁶ pants. Terorisma attaisnošana, aicinājums uz terorismu un terorisma draudi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154.¹ pants. Cilvēku tirdzniecība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 Krāpšana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177.¹ pants. Krāpšana automatizētā datu apstrādes sistēmā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 Apdrošināšanas krāpšana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 Piesavināšanās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 Noziedzīgi iegūtu līdzekļu legalizēšana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 Neatļauta labumu pieņemšana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 Komerciālā uzpirkšana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 Izvairīšanās no nodokļiem un tiem pielīdzināto maksājumu nomaksas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 Kukuļņemšana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 Kukuļa piesavināšanās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pants. Starpniecība kukuļošanā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 Kukuļdošana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 pirmā daļa (tostarp jebkurš no minētās daļas apakšpunktiem), ja par vertikālo vienošanos, kuras mērķis ir ierobežot pircēja iespēju noteikt tālākpārdošanas cenu, vai horizontālo karteļa vienošanos kā izslēgšanas pamatu no iepirkuma procedūras Sodu reģistrā ir norādījusi Konkurences padome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68.⁴ panta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vienas vai vairāku tādu personu (līdz piecām personām) nodarbināšanu, kuras nav tiesīgas uzturēties Latvijas Republikā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līguma nenoslēgšana rakstveida formā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"Par nodokļiem un nodevām"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panta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informatīvās deklarācijas par darba ņēmējiem (iesniedzama par personām, kuras uzsāk darbu) iesniegšanu, pārkāpjot nodokļu normatīvajos aktos noteikto iesniegšanas termiņu, vai deklarācijas neiesniegšanu, kā arī par paziņojuma par fiziskajai personai izmaksātajām summām iesniegšanu, pārkāpjot nodokļu normatīvajos aktos noteikto iesniegšanas termiņu vairāk par divām dienām, vai paziņojuma neiesniegšanu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noteikumu_projekts_p3_22-TA-3069.docx</dc:title>
</cp:coreProperties>
</file>

<file path=docProps/custom.xml><?xml version="1.0" encoding="utf-8"?>
<Properties xmlns="http://schemas.openxmlformats.org/officeDocument/2006/custom-properties" xmlns:vt="http://schemas.openxmlformats.org/officeDocument/2006/docPropsVTypes"/>
</file>